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AA7F" w14:textId="77777777" w:rsidR="00200497" w:rsidRDefault="00000000" w:rsidP="00314CC7">
      <w:pPr>
        <w:jc w:val="center"/>
      </w:pPr>
      <w:r>
        <w:rPr>
          <w:noProof/>
        </w:rPr>
        <w:drawing>
          <wp:inline distT="0" distB="0" distL="0" distR="0" wp14:anchorId="1FA2A3D2" wp14:editId="3D737D24">
            <wp:extent cx="709295" cy="872490"/>
            <wp:effectExtent l="0" t="0" r="0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1" t="-261" r="-301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9E95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C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749088CD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Cs w:val="28"/>
        </w:rPr>
      </w:pPr>
      <w:r w:rsidRPr="00314CC7">
        <w:rPr>
          <w:rFonts w:ascii="Times New Roman" w:hAnsi="Times New Roman" w:cs="Times New Roman"/>
          <w:b/>
          <w:szCs w:val="28"/>
        </w:rPr>
        <w:t>КЕМЕРОВСКАЯ ОБЛАСТЬ - КУЗБАСС</w:t>
      </w:r>
    </w:p>
    <w:p w14:paraId="67DD1608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C7">
        <w:rPr>
          <w:rFonts w:ascii="Times New Roman" w:hAnsi="Times New Roman" w:cs="Times New Roman"/>
          <w:b/>
          <w:sz w:val="36"/>
          <w:szCs w:val="36"/>
        </w:rPr>
        <w:t>Топкинский муниципальный округ</w:t>
      </w:r>
    </w:p>
    <w:p w14:paraId="27A330F6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Cs w:val="28"/>
        </w:rPr>
      </w:pPr>
      <w:r w:rsidRPr="00314CC7">
        <w:rPr>
          <w:rFonts w:ascii="Times New Roman" w:hAnsi="Times New Roman" w:cs="Times New Roman"/>
          <w:b/>
          <w:szCs w:val="28"/>
        </w:rPr>
        <w:t>АДМИНИСТРАЦИЯ</w:t>
      </w:r>
    </w:p>
    <w:p w14:paraId="3A9A111A" w14:textId="77777777" w:rsidR="00200497" w:rsidRPr="00314CC7" w:rsidRDefault="00000000" w:rsidP="00314CC7">
      <w:pPr>
        <w:jc w:val="center"/>
        <w:rPr>
          <w:rFonts w:ascii="Times New Roman" w:hAnsi="Times New Roman" w:cs="Times New Roman"/>
        </w:rPr>
      </w:pPr>
      <w:r w:rsidRPr="00314CC7">
        <w:rPr>
          <w:rFonts w:ascii="Times New Roman" w:hAnsi="Times New Roman" w:cs="Times New Roman"/>
          <w:b/>
          <w:szCs w:val="28"/>
        </w:rPr>
        <w:t xml:space="preserve">ТОПКИНСКОГО МУНИЦИПАЛЬНОГО </w:t>
      </w:r>
      <w:r w:rsidRPr="00314CC7">
        <w:rPr>
          <w:rFonts w:ascii="Times New Roman" w:hAnsi="Times New Roman" w:cs="Times New Roman"/>
          <w:b/>
          <w:caps/>
          <w:szCs w:val="28"/>
        </w:rPr>
        <w:t>округа</w:t>
      </w:r>
    </w:p>
    <w:p w14:paraId="438EF414" w14:textId="77777777" w:rsidR="00200497" w:rsidRDefault="00000000" w:rsidP="00314CC7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E3670BD" w14:textId="77777777" w:rsidR="00200497" w:rsidRDefault="00200497" w:rsidP="00314CC7">
      <w:pPr>
        <w:jc w:val="center"/>
        <w:rPr>
          <w:b/>
        </w:rPr>
      </w:pPr>
    </w:p>
    <w:p w14:paraId="698FFBD1" w14:textId="77777777" w:rsidR="00200497" w:rsidRDefault="00200497" w:rsidP="00314CC7">
      <w:pPr>
        <w:jc w:val="center"/>
        <w:rPr>
          <w:b/>
          <w:szCs w:val="28"/>
        </w:rPr>
      </w:pPr>
    </w:p>
    <w:p w14:paraId="53BC761D" w14:textId="1DA30B4C" w:rsidR="00200497" w:rsidRPr="00314CC7" w:rsidRDefault="00000000" w:rsidP="00314CC7">
      <w:pPr>
        <w:jc w:val="center"/>
        <w:rPr>
          <w:sz w:val="28"/>
          <w:szCs w:val="28"/>
        </w:rPr>
      </w:pPr>
      <w:r w:rsidRPr="00314CC7">
        <w:rPr>
          <w:b/>
          <w:sz w:val="28"/>
          <w:szCs w:val="28"/>
        </w:rPr>
        <w:t xml:space="preserve">от </w:t>
      </w:r>
      <w:r w:rsidR="00681149">
        <w:rPr>
          <w:b/>
          <w:sz w:val="28"/>
          <w:szCs w:val="28"/>
        </w:rPr>
        <w:t>______________</w:t>
      </w:r>
      <w:r w:rsidRPr="00314CC7">
        <w:rPr>
          <w:b/>
          <w:sz w:val="28"/>
          <w:szCs w:val="28"/>
        </w:rPr>
        <w:t xml:space="preserve"> </w:t>
      </w:r>
      <w:r w:rsidRPr="00314CC7">
        <w:rPr>
          <w:b/>
          <w:color w:val="000000"/>
          <w:sz w:val="28"/>
          <w:szCs w:val="28"/>
        </w:rPr>
        <w:t xml:space="preserve">2025 года № </w:t>
      </w:r>
      <w:r w:rsidR="00681149">
        <w:rPr>
          <w:b/>
          <w:color w:val="000000"/>
          <w:sz w:val="28"/>
          <w:szCs w:val="28"/>
        </w:rPr>
        <w:t>__</w:t>
      </w:r>
      <w:r w:rsidRPr="00314CC7">
        <w:rPr>
          <w:b/>
          <w:color w:val="000000"/>
          <w:sz w:val="28"/>
          <w:szCs w:val="28"/>
        </w:rPr>
        <w:t>-п</w:t>
      </w:r>
    </w:p>
    <w:p w14:paraId="000C13AD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г. Топки</w:t>
      </w:r>
    </w:p>
    <w:p w14:paraId="6A5B7EDB" w14:textId="77777777" w:rsidR="00200497" w:rsidRPr="00314CC7" w:rsidRDefault="00200497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E7B70" w14:textId="77777777" w:rsidR="00200497" w:rsidRPr="00314CC7" w:rsidRDefault="00200497" w:rsidP="00314C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26408" w14:textId="77777777" w:rsidR="00200497" w:rsidRPr="00314CC7" w:rsidRDefault="00000000" w:rsidP="00314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bookmarkStart w:id="0" w:name="__DdeLink__1_3542629821"/>
      <w:r w:rsidRPr="00314CC7">
        <w:rPr>
          <w:rFonts w:ascii="Times New Roman" w:hAnsi="Times New Roman" w:cs="Times New Roman"/>
          <w:b/>
          <w:sz w:val="28"/>
          <w:szCs w:val="28"/>
        </w:rPr>
        <w:t>администрации Топкинского муниципального округа от 29.08.2023 № 1467-п «Об утверждении</w:t>
      </w:r>
    </w:p>
    <w:p w14:paraId="667479C5" w14:textId="77777777" w:rsidR="00200497" w:rsidRPr="00314CC7" w:rsidRDefault="00000000" w:rsidP="00314CC7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схемы размещения нестационарных торговых объектов</w:t>
      </w:r>
    </w:p>
    <w:p w14:paraId="1D7065DE" w14:textId="77777777" w:rsidR="00200497" w:rsidRPr="00314CC7" w:rsidRDefault="00000000" w:rsidP="00314CC7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C7">
        <w:rPr>
          <w:rFonts w:ascii="Times New Roman" w:hAnsi="Times New Roman" w:cs="Times New Roman"/>
          <w:b/>
          <w:sz w:val="28"/>
          <w:szCs w:val="28"/>
        </w:rPr>
        <w:t>на территории Топкинского муниципального округа»</w:t>
      </w:r>
      <w:bookmarkEnd w:id="0"/>
    </w:p>
    <w:p w14:paraId="7C00AD51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5FB0E" w14:textId="77777777" w:rsidR="00200497" w:rsidRPr="00314CC7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4CC7"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Федеральным  законом от 06.10.2003 № 131-ФЗ «Об общих принципах организации местного самоуправления в российской  Федерации», </w:t>
      </w:r>
      <w:r w:rsidRPr="00314CC7">
        <w:rPr>
          <w:rFonts w:ascii="Times New Roman" w:hAnsi="Times New Roman" w:cs="Times New Roman"/>
          <w:sz w:val="28"/>
          <w:szCs w:val="28"/>
        </w:rPr>
        <w:t xml:space="preserve">со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bookmarkStart w:id="1" w:name="__DdeLink__206_1824674592"/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постановлением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29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2010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</w:t>
      </w:r>
      <w:r w:rsidRPr="0031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772</w:t>
      </w:r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bookmarkEnd w:id="1"/>
      <w:r w:rsidRPr="0031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hyperlink r:id="rId8" w:tgtFrame="_top">
        <w:bookmarkStart w:id="2" w:name="__DdeLink__208_1824674592"/>
        <w:r w:rsidR="00200497"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постановлением Коллегии Администрации Кемеровской области от 30.11.2010 № </w:t>
        </w:r>
      </w:hyperlink>
      <w:hyperlink r:id="rId9" w:tgtFrame="_top">
        <w:r w:rsidR="00200497"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530 «Об установлении порядка разработки и утверждения схемы размещения нестационарных торговых объектов органом местного самоуправления,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– Кузбасса, без предоставления земельных участков и установления сервитута, публичного </w:t>
        </w:r>
      </w:hyperlink>
      <w:hyperlink r:id="rId10" w:tgtFrame="_top">
        <w:r w:rsidR="00200497" w:rsidRPr="00314CC7">
          <w:rPr>
            <w:rFonts w:ascii="Times New Roman" w:hAnsi="Times New Roman" w:cs="Times New Roman"/>
            <w:color w:val="000000"/>
            <w:sz w:val="28"/>
            <w:szCs w:val="28"/>
          </w:rPr>
          <w:t xml:space="preserve">сервитута», </w:t>
        </w:r>
      </w:hyperlink>
      <w:bookmarkEnd w:id="2"/>
      <w:r w:rsidRPr="00314CC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Топкинский муниципальный округ Кемеровской области — Кузбасса, и в целях создания условий для дальнейшего упорядочения размещения и функционирования нестационарных торговых объектов на территории Топкинского </w:t>
      </w:r>
      <w:r w:rsidRPr="00314CC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округа:</w:t>
      </w:r>
    </w:p>
    <w:p w14:paraId="1D7D2107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bookmarkStart w:id="3" w:name="__DdeLink__210_1824674592"/>
      <w:r w:rsidRPr="00314CC7">
        <w:rPr>
          <w:rFonts w:ascii="Times New Roman" w:hAnsi="Times New Roman" w:cs="Times New Roman"/>
          <w:sz w:val="28"/>
          <w:szCs w:val="28"/>
        </w:rPr>
        <w:t>29.08.2023 № 1467-п</w:t>
      </w:r>
      <w:bookmarkEnd w:id="3"/>
      <w:r w:rsidRPr="00314CC7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Топкинского муниципального округа» следующие изменения:</w:t>
      </w:r>
    </w:p>
    <w:p w14:paraId="6468D452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color w:val="111111"/>
          <w:sz w:val="28"/>
          <w:szCs w:val="28"/>
        </w:rPr>
        <w:t>1.1. В столбце «специализация торговли нестационарного торгового объекта, в отношении которого законом Кемеровской области-Кузбасс установлен норматив минимальной обеспеченности населения площадью нестационарных торговых объектов» строки 5 текстового раздела схемы размещения нестационарных торговых объектов на землях или земельных участках, находящихся в государственной или муниципальной собственности, на территории Топкинского муниципального округа  слова «продовольственные товары» заменить словами «общественное питание».</w:t>
      </w:r>
    </w:p>
    <w:p w14:paraId="24A63245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color w:val="111111"/>
          <w:sz w:val="28"/>
          <w:szCs w:val="28"/>
        </w:rPr>
        <w:t>2. Разместить данное постановление на официальном сайте администрации Топкинского муниципальног</w:t>
      </w:r>
      <w:r w:rsidRPr="00314CC7">
        <w:rPr>
          <w:rFonts w:ascii="Times New Roman" w:hAnsi="Times New Roman" w:cs="Times New Roman"/>
          <w:sz w:val="28"/>
          <w:szCs w:val="28"/>
        </w:rPr>
        <w:t>о округа в информационно-телекоммуникационной сети «Интернет».</w:t>
      </w:r>
    </w:p>
    <w:p w14:paraId="16E34ACC" w14:textId="77777777" w:rsidR="00200497" w:rsidRPr="00314CC7" w:rsidRDefault="00000000">
      <w:pPr>
        <w:suppressLineNumber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по финансам и экономике </w:t>
      </w:r>
      <w:proofErr w:type="spellStart"/>
      <w:r w:rsidRPr="00314CC7">
        <w:rPr>
          <w:rFonts w:ascii="Times New Roman" w:hAnsi="Times New Roman" w:cs="Times New Roman"/>
          <w:sz w:val="28"/>
          <w:szCs w:val="28"/>
        </w:rPr>
        <w:t>Н.А.Максакову</w:t>
      </w:r>
      <w:proofErr w:type="spellEnd"/>
      <w:r w:rsidRPr="00314CC7">
        <w:rPr>
          <w:rFonts w:ascii="Times New Roman" w:hAnsi="Times New Roman" w:cs="Times New Roman"/>
          <w:sz w:val="28"/>
          <w:szCs w:val="28"/>
        </w:rPr>
        <w:t>.</w:t>
      </w:r>
    </w:p>
    <w:p w14:paraId="28B943C3" w14:textId="77777777" w:rsidR="00200497" w:rsidRPr="00314CC7" w:rsidRDefault="0000000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C7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обнародования.</w:t>
      </w:r>
    </w:p>
    <w:p w14:paraId="66694689" w14:textId="77777777" w:rsidR="00200497" w:rsidRPr="00314CC7" w:rsidRDefault="002004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FC3E689" w14:textId="77777777" w:rsidR="00200497" w:rsidRDefault="002004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96FFDC5" w14:textId="77777777" w:rsidR="0020049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68674CE6" w14:textId="77777777" w:rsidR="00200497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5DFE07B1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79FFF8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5DB1CC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7ABDBE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CE0BAB" w14:textId="77777777" w:rsidR="00200497" w:rsidRDefault="00200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00497">
      <w:headerReference w:type="default" r:id="rId11"/>
      <w:footerReference w:type="default" r:id="rId12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4541" w14:textId="77777777" w:rsidR="001969FE" w:rsidRDefault="001969FE">
      <w:r>
        <w:separator/>
      </w:r>
    </w:p>
  </w:endnote>
  <w:endnote w:type="continuationSeparator" w:id="0">
    <w:p w14:paraId="02C1357F" w14:textId="77777777" w:rsidR="001969FE" w:rsidRDefault="001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3333" w14:textId="77777777" w:rsidR="00200497" w:rsidRDefault="00200497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660D3" w14:textId="77777777" w:rsidR="001969FE" w:rsidRDefault="001969FE">
      <w:r>
        <w:separator/>
      </w:r>
    </w:p>
  </w:footnote>
  <w:footnote w:type="continuationSeparator" w:id="0">
    <w:p w14:paraId="2A02C472" w14:textId="77777777" w:rsidR="001969FE" w:rsidRDefault="001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4FA12" w14:textId="77777777" w:rsidR="00200497" w:rsidRDefault="00000000">
    <w:pPr>
      <w:pStyle w:val="afff1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AD4"/>
    <w:multiLevelType w:val="multilevel"/>
    <w:tmpl w:val="C3A062F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54AC0D7A"/>
    <w:multiLevelType w:val="multilevel"/>
    <w:tmpl w:val="5B5E973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22572"/>
    <w:multiLevelType w:val="multilevel"/>
    <w:tmpl w:val="79E013FA"/>
    <w:lvl w:ilvl="0">
      <w:start w:val="1"/>
      <w:numFmt w:val="bullet"/>
      <w:pStyle w:val="20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 w16cid:durableId="234515891">
    <w:abstractNumId w:val="1"/>
  </w:num>
  <w:num w:numId="2" w16cid:durableId="342363233">
    <w:abstractNumId w:val="0"/>
  </w:num>
  <w:num w:numId="3" w16cid:durableId="201464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97"/>
    <w:rsid w:val="00097C08"/>
    <w:rsid w:val="001969FE"/>
    <w:rsid w:val="00200497"/>
    <w:rsid w:val="00314CC7"/>
    <w:rsid w:val="00681149"/>
    <w:rsid w:val="00C12698"/>
    <w:rsid w:val="00F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AEC7"/>
  <w15:docId w15:val="{241049E8-C88B-4E06-9798-4184712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0"/>
    <w:qFormat/>
  </w:style>
  <w:style w:type="paragraph" w:styleId="20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0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7">
    <w:name w:val="Маркированный –"/>
    <w:qFormat/>
  </w:style>
  <w:style w:type="numbering" w:customStyle="1" w:styleId="affff8">
    <w:name w:val="Маркированный "/>
    <w:qFormat/>
  </w:style>
  <w:style w:type="numbering" w:customStyle="1" w:styleId="affff9">
    <w:name w:val="Маркированный "/>
    <w:qFormat/>
  </w:style>
  <w:style w:type="numbering" w:customStyle="1" w:styleId="affffa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b">
    <w:name w:val="Нумерованный а)"/>
    <w:qFormat/>
  </w:style>
  <w:style w:type="numbering" w:customStyle="1" w:styleId="affffc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27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11527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115277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10</cp:revision>
  <cp:lastPrinted>2025-01-23T03:05:00Z</cp:lastPrinted>
  <dcterms:created xsi:type="dcterms:W3CDTF">2025-01-14T14:57:00Z</dcterms:created>
  <dcterms:modified xsi:type="dcterms:W3CDTF">2025-01-23T04:54:00Z</dcterms:modified>
  <dc:language>ru-RU</dc:language>
</cp:coreProperties>
</file>