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7F" w:rsidRPr="00AA467F" w:rsidRDefault="00337FC4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FCD3195">
            <wp:extent cx="68897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  июня 2021 года №  </w:t>
      </w:r>
      <w:proofErr w:type="gramStart"/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  <w:proofErr w:type="gramEnd"/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г.Топки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bookmarkStart w:id="0" w:name="_GoBack"/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Об утверждении административного регламента 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/>
          <w:bCs/>
          <w:sz w:val="28"/>
          <w:szCs w:val="28"/>
          <w:lang w:eastAsia="zh-CN" w:bidi="hi-IN"/>
        </w:rPr>
        <w:t>«Перераспределение земель и (или) земельных участков, находящихся в собственности Топкинского муниципального округа, и земельных участков, находящихся в частной собственности»</w:t>
      </w:r>
    </w:p>
    <w:p w:rsidR="00AA467F" w:rsidRPr="00AA467F" w:rsidRDefault="00AA467F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bookmarkEnd w:id="0"/>
    <w:p w:rsidR="00550B5D" w:rsidRDefault="00AA467F" w:rsidP="00550B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Cs/>
          <w:sz w:val="28"/>
          <w:szCs w:val="28"/>
          <w:lang w:eastAsia="zh-CN" w:bidi="hi-IN"/>
        </w:rPr>
        <w:t>На основании статей 39.27, 39.28, 39.29 Земельного кодекса Российской Федерации, статьи 15 Федерального закона от 06</w:t>
      </w:r>
      <w:r w:rsidR="00337FC4">
        <w:rPr>
          <w:rFonts w:ascii="Times New Roman" w:hAnsi="Times New Roman"/>
          <w:bCs/>
          <w:sz w:val="28"/>
          <w:szCs w:val="28"/>
          <w:lang w:eastAsia="zh-CN" w:bidi="hi-IN"/>
        </w:rPr>
        <w:t xml:space="preserve">.10.2003 </w:t>
      </w:r>
      <w:r w:rsidRPr="00AA467F">
        <w:rPr>
          <w:rFonts w:ascii="Times New Roman" w:hAnsi="Times New Roman"/>
          <w:bCs/>
          <w:sz w:val="28"/>
          <w:szCs w:val="28"/>
          <w:lang w:eastAsia="zh-CN" w:bidi="hi-IN"/>
        </w:rPr>
        <w:t xml:space="preserve">№ 131-ФЗ «Об общих принципах организации местного самоуправления в Российской Федерации»,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Федерального закона от 27.07.2010 № 210-ФЗ «Об организации предоставления государственных и муниципальных услуг», Федерального закона от 02.05.2006 № 59-ФЗ «О порядке рассмотрения обращений граждан Российской Федерации», постановления администрации Топкинского муниципального района от 30.09.2011 № 972-п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района» </w:t>
      </w:r>
      <w:r w:rsidR="00337FC4" w:rsidRPr="00337FC4">
        <w:rPr>
          <w:rFonts w:ascii="Times New Roman" w:hAnsi="Times New Roman"/>
          <w:bCs/>
          <w:sz w:val="28"/>
          <w:szCs w:val="28"/>
          <w:lang w:eastAsia="zh-CN" w:bidi="hi-IN"/>
        </w:rPr>
        <w:t>постановления администрации Топкинского муниципального округа от 22.12.2020 № 1436-п «Об утверждении  перечня муниципальных услуг, предоставляемых органами местного самоуправления Топкинского муниципального округа», Уставом муниципального образования Топкинский муниципальный округ Кемеровской области – Кузбасса и в целях повышения качества и доступности представления муниципальных услуг в сфере имущественных и земельных отношений:</w:t>
      </w:r>
    </w:p>
    <w:p w:rsidR="00550B5D" w:rsidRDefault="00550B5D" w:rsidP="002623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1.</w:t>
      </w:r>
      <w:r w:rsidR="00AA467F" w:rsidRPr="00550B5D">
        <w:rPr>
          <w:rFonts w:ascii="Times New Roman" w:hAnsi="Times New Roman"/>
          <w:bCs/>
          <w:sz w:val="28"/>
          <w:szCs w:val="28"/>
          <w:lang w:eastAsia="zh-CN" w:bidi="hi-IN"/>
        </w:rPr>
        <w:t xml:space="preserve">Утвердить административный регламент </w:t>
      </w:r>
      <w:r w:rsidR="00337FC4" w:rsidRPr="00550B5D">
        <w:rPr>
          <w:rFonts w:ascii="Times New Roman" w:hAnsi="Times New Roman"/>
          <w:bCs/>
          <w:sz w:val="28"/>
          <w:szCs w:val="28"/>
          <w:lang w:eastAsia="zh-CN" w:bidi="hi-IN"/>
        </w:rPr>
        <w:t xml:space="preserve">предоставления </w:t>
      </w:r>
      <w:r w:rsidR="00AA467F" w:rsidRPr="00550B5D"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муниципальной услуги «Перераспределение земель и (или) земельных участков, находящихся в собственности Топкинского муниципального округа, и земельных участков, находя</w:t>
      </w:r>
      <w:r w:rsidR="00337FC4" w:rsidRPr="00550B5D">
        <w:rPr>
          <w:rFonts w:ascii="Times New Roman" w:hAnsi="Times New Roman"/>
          <w:bCs/>
          <w:sz w:val="28"/>
          <w:szCs w:val="28"/>
          <w:lang w:eastAsia="zh-CN" w:bidi="hi-IN"/>
        </w:rPr>
        <w:t>щихся в частной собственности».</w:t>
      </w:r>
    </w:p>
    <w:p w:rsidR="00262354" w:rsidRDefault="00550B5D" w:rsidP="0026235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354">
        <w:rPr>
          <w:rFonts w:ascii="Times New Roman" w:hAnsi="Times New Roman"/>
          <w:bCs/>
          <w:sz w:val="28"/>
          <w:szCs w:val="28"/>
          <w:lang w:eastAsia="zh-CN" w:bidi="hi-IN"/>
        </w:rPr>
        <w:t>2.</w:t>
      </w:r>
      <w:r w:rsidRPr="00262354">
        <w:rPr>
          <w:rFonts w:ascii="Times New Roman" w:hAnsi="Times New Roman"/>
        </w:rPr>
        <w:t xml:space="preserve"> </w:t>
      </w:r>
      <w:r w:rsidRPr="00262354">
        <w:rPr>
          <w:rFonts w:ascii="Times New Roman" w:hAnsi="Times New Roman"/>
          <w:bCs/>
          <w:sz w:val="28"/>
          <w:szCs w:val="28"/>
          <w:lang w:eastAsia="zh-CN" w:bidi="hi-IN"/>
        </w:rPr>
        <w:t xml:space="preserve">Постановление администрации Топкинского муниципального района от 08.05.2020г. №351-п </w:t>
      </w:r>
      <w:r w:rsidR="00262354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262354" w:rsidRPr="00262354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собственности Топкинского </w:t>
      </w:r>
      <w:r w:rsidR="00262354" w:rsidRPr="00262354">
        <w:rPr>
          <w:rFonts w:ascii="Times New Roman" w:hAnsi="Times New Roman"/>
          <w:bCs/>
          <w:sz w:val="28"/>
          <w:szCs w:val="28"/>
        </w:rPr>
        <w:lastRenderedPageBreak/>
        <w:t>муниципального округа,</w:t>
      </w:r>
      <w:r w:rsidR="00262354" w:rsidRPr="00262354">
        <w:rPr>
          <w:rFonts w:ascii="Times New Roman" w:hAnsi="Times New Roman"/>
          <w:sz w:val="28"/>
          <w:szCs w:val="28"/>
        </w:rPr>
        <w:t xml:space="preserve"> и земельных участков, находящихся в частной собственности»</w:t>
      </w:r>
      <w:r w:rsidR="0026235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37FC4" w:rsidRPr="00337FC4" w:rsidRDefault="00550B5D" w:rsidP="0026235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3</w:t>
      </w:r>
      <w:r w:rsidR="00337FC4">
        <w:rPr>
          <w:rFonts w:ascii="Times New Roman" w:hAnsi="Times New Roman"/>
          <w:bCs/>
          <w:sz w:val="28"/>
          <w:szCs w:val="28"/>
          <w:lang w:eastAsia="zh-CN" w:bidi="hi-IN"/>
        </w:rPr>
        <w:t xml:space="preserve">. </w:t>
      </w:r>
      <w:r w:rsidR="00337FC4" w:rsidRPr="00337FC4">
        <w:rPr>
          <w:rFonts w:ascii="Times New Roman" w:hAnsi="Times New Roman"/>
          <w:bCs/>
          <w:sz w:val="28"/>
          <w:szCs w:val="28"/>
          <w:lang w:eastAsia="zh-CN" w:bidi="hi-IN"/>
        </w:rPr>
        <w:t>Разместить данное постановление на официальном сайте администрации Топкинского муниципального округа в информационно-коммуникационной сети Интернет.</w:t>
      </w:r>
    </w:p>
    <w:p w:rsidR="00337FC4" w:rsidRPr="00337FC4" w:rsidRDefault="00550B5D" w:rsidP="00337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4</w:t>
      </w:r>
      <w:r w:rsidR="00337FC4" w:rsidRPr="00337FC4">
        <w:rPr>
          <w:rFonts w:ascii="Times New Roman" w:hAnsi="Times New Roman"/>
          <w:bCs/>
          <w:sz w:val="28"/>
          <w:szCs w:val="28"/>
          <w:lang w:eastAsia="zh-CN" w:bidi="hi-IN"/>
        </w:rPr>
        <w:t>. Контроль за исполнением постановления возложить на                            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AA467F" w:rsidRPr="00AA467F" w:rsidRDefault="00550B5D" w:rsidP="00337F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5</w:t>
      </w:r>
      <w:r w:rsidR="00337FC4" w:rsidRPr="00337FC4">
        <w:rPr>
          <w:rFonts w:ascii="Times New Roman" w:hAnsi="Times New Roman"/>
          <w:bCs/>
          <w:sz w:val="28"/>
          <w:szCs w:val="28"/>
          <w:lang w:eastAsia="zh-CN" w:bidi="hi-IN"/>
        </w:rPr>
        <w:t>. Постановление вступает в силу после официального обнародования.</w:t>
      </w:r>
    </w:p>
    <w:p w:rsidR="00AA467F" w:rsidRPr="00AA467F" w:rsidRDefault="00AA467F" w:rsidP="00AA46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A467F" w:rsidRPr="00AA467F" w:rsidRDefault="00AA467F" w:rsidP="00AA46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A467F" w:rsidRPr="00AA467F" w:rsidRDefault="00AA467F" w:rsidP="00AA46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Cs/>
          <w:sz w:val="28"/>
          <w:szCs w:val="28"/>
          <w:lang w:eastAsia="zh-CN" w:bidi="hi-IN"/>
        </w:rPr>
        <w:t>Глава Топкинского</w:t>
      </w:r>
    </w:p>
    <w:p w:rsidR="00AA467F" w:rsidRPr="00AA467F" w:rsidRDefault="00AA467F" w:rsidP="00AA46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AA467F"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С.В.</w:t>
      </w:r>
      <w:r w:rsidR="00337FC4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Pr="00AA467F">
        <w:rPr>
          <w:rFonts w:ascii="Times New Roman" w:hAnsi="Times New Roman"/>
          <w:bCs/>
          <w:sz w:val="28"/>
          <w:szCs w:val="28"/>
          <w:lang w:eastAsia="zh-CN" w:bidi="hi-IN"/>
        </w:rPr>
        <w:t>Фролов</w:t>
      </w:r>
    </w:p>
    <w:p w:rsidR="004E7DCD" w:rsidRPr="00AA467F" w:rsidRDefault="004E7DCD" w:rsidP="00AA4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5E122E" w:rsidRDefault="005E122E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5E122E" w:rsidRDefault="005E122E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337FC4" w:rsidRDefault="00337FC4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</w:pPr>
    </w:p>
    <w:p w:rsidR="004E7DCD" w:rsidRPr="000F650C" w:rsidRDefault="00B90E50" w:rsidP="00AA467F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4"/>
          <w:szCs w:val="24"/>
          <w:lang w:eastAsia="zh-CN" w:bidi="hi-IN"/>
        </w:rPr>
      </w:pPr>
      <w:r w:rsidRPr="00AA467F"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  <w:t>а</w:t>
      </w:r>
      <w:r w:rsidRPr="000F650C">
        <w:rPr>
          <w:rFonts w:ascii="Times New Roman" w:hAnsi="Times New Roman" w:cs="Times New Roman"/>
          <w:bCs/>
          <w:smallCaps/>
          <w:sz w:val="24"/>
          <w:szCs w:val="24"/>
          <w:lang w:eastAsia="zh-CN" w:bidi="hi-IN"/>
        </w:rPr>
        <w:t xml:space="preserve">дминистративный регламент предоставления муниципальной услуги </w:t>
      </w:r>
      <w:r w:rsidRPr="000F650C">
        <w:rPr>
          <w:rFonts w:ascii="Times New Roman" w:hAnsi="Times New Roman" w:cs="Times New Roman"/>
          <w:smallCaps/>
          <w:sz w:val="24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Pr="000F650C" w:rsidRDefault="004E7DCD" w:rsidP="00F71ADE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4E7DCD" w:rsidRPr="000F650C" w:rsidRDefault="00B90E50" w:rsidP="00F71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Pr="000F650C" w:rsidRDefault="004E7DCD" w:rsidP="00F71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4E7DCD" w:rsidRPr="000F650C" w:rsidRDefault="00B90E50" w:rsidP="00F71A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0F650C" w:rsidRPr="000F650C">
        <w:rPr>
          <w:rFonts w:ascii="Times New Roman" w:hAnsi="Times New Roman"/>
          <w:sz w:val="24"/>
          <w:szCs w:val="24"/>
        </w:rPr>
        <w:t xml:space="preserve"> </w:t>
      </w:r>
      <w:r w:rsidR="008630C8" w:rsidRPr="008630C8">
        <w:rPr>
          <w:rFonts w:ascii="Times New Roman" w:hAnsi="Times New Roman"/>
          <w:sz w:val="24"/>
          <w:szCs w:val="24"/>
        </w:rPr>
        <w:t>Комитет</w:t>
      </w:r>
      <w:r w:rsidR="008460AB">
        <w:rPr>
          <w:rFonts w:ascii="Times New Roman" w:hAnsi="Times New Roman"/>
          <w:sz w:val="24"/>
          <w:szCs w:val="24"/>
        </w:rPr>
        <w:t>а</w:t>
      </w:r>
      <w:r w:rsidR="008630C8" w:rsidRPr="008630C8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Топкинского муниципального округа</w:t>
      </w:r>
      <w:r w:rsidR="008630C8" w:rsidRPr="000F650C">
        <w:rPr>
          <w:rFonts w:ascii="Times New Roman" w:hAnsi="Times New Roman"/>
          <w:sz w:val="24"/>
          <w:szCs w:val="24"/>
        </w:rPr>
        <w:t xml:space="preserve"> </w:t>
      </w:r>
      <w:r w:rsidRPr="000F650C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Pr="000F650C" w:rsidRDefault="00B90E50" w:rsidP="00F71A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Pr="000F650C" w:rsidRDefault="00B90E50" w:rsidP="00F71A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Pr="000F650C" w:rsidRDefault="00B90E50" w:rsidP="00F71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Pr="000F650C" w:rsidRDefault="00B90E50" w:rsidP="00F7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Pr="000F650C" w:rsidRDefault="00B90E50" w:rsidP="00F7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Pr="000F650C" w:rsidRDefault="00B90E50" w:rsidP="00F7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Pr="000F650C" w:rsidRDefault="00B90E50" w:rsidP="00F7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Pr="000F650C" w:rsidRDefault="00B90E50" w:rsidP="00F7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62119062"/>
      <w:r w:rsidRPr="000F650C"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0F650C"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1"/>
    <w:p w:rsidR="004E7DCD" w:rsidRPr="000F650C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0F650C" w:rsidRDefault="00B90E50" w:rsidP="007C5C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Pr="000F650C" w:rsidRDefault="00B90E50" w:rsidP="007C5C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62119097"/>
      <w:r w:rsidRPr="000F650C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2"/>
    <w:p w:rsidR="004E7DCD" w:rsidRPr="000F650C" w:rsidRDefault="004E7DCD" w:rsidP="007C5C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0F650C" w:rsidRDefault="00B90E50" w:rsidP="007C5C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Pr="000F650C" w:rsidRDefault="004E7DCD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7C5C45" w:rsidRPr="007C5C45" w:rsidRDefault="007C5C45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C45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 Комитетом по управлению муниципальным имуществом администрации Топкинского муниципального округа (далее – уполномоченный орган).</w:t>
      </w:r>
    </w:p>
    <w:p w:rsidR="007C5C45" w:rsidRPr="000F650C" w:rsidRDefault="007C5C45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C45">
        <w:rPr>
          <w:rFonts w:ascii="Times New Roman" w:hAnsi="Times New Roman" w:cs="Times New Roman"/>
          <w:sz w:val="24"/>
          <w:szCs w:val="24"/>
        </w:rPr>
        <w:t>2.2.2. Прием от заявителей заявлений и документов, необходимых для предоставления муниципальной услуги, а также выдача результата предоставления муниципальной услуги осуществляется уполномоченным органом или МФЦ.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19116"/>
      <w:r w:rsidRPr="000F650C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3"/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2.3.4. Принятие решения об отказе в заключении соглашения о перераспределении земельных участков. 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130251"/>
      <w:r w:rsidRPr="000F650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Pr="000F650C" w:rsidRDefault="00B90E50" w:rsidP="007C5C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Pr="000F650C" w:rsidRDefault="00B90E50" w:rsidP="007C5C4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_Hlk62119151"/>
      <w:r w:rsidRPr="000F650C"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5"/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lastRenderedPageBreak/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4"/>
    <w:p w:rsidR="004E7DCD" w:rsidRPr="000F650C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hAnsi="Times New Roman"/>
          <w:sz w:val="24"/>
          <w:szCs w:val="24"/>
        </w:rPr>
        <w:t xml:space="preserve">2.4. </w:t>
      </w:r>
      <w:r w:rsidR="007C5C45" w:rsidRPr="007C5C45">
        <w:rPr>
          <w:rFonts w:ascii="Times New Roman" w:hAnsi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заключении соглашения о перераспределении земельных участков при наличии оснований, предусмотренных под</w:t>
      </w:r>
      <w:hyperlink r:id="rId8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Pr="000F650C" w:rsidRDefault="00B90E50" w:rsidP="007C5C45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2119231"/>
      <w:r w:rsidRPr="000F650C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6"/>
    <w:p w:rsidR="004E7DCD" w:rsidRPr="000F650C" w:rsidRDefault="007C5C45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5C45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0F650C">
        <w:rPr>
          <w:rFonts w:ascii="Times New Roman" w:hAnsi="Times New Roman"/>
          <w:sz w:val="24"/>
          <w:szCs w:val="24"/>
        </w:rPr>
        <w:t xml:space="preserve">2.6.1. </w:t>
      </w:r>
      <w:r w:rsidRPr="000F650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Pr="000F650C" w:rsidRDefault="00B90E50" w:rsidP="007C5C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2.6.1.1. </w:t>
      </w:r>
      <w:r w:rsidRPr="000F650C"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</w:t>
      </w:r>
      <w:r w:rsidRPr="000F650C">
        <w:rPr>
          <w:sz w:val="24"/>
          <w:szCs w:val="24"/>
        </w:rPr>
        <w:t xml:space="preserve"> </w:t>
      </w:r>
      <w:r w:rsidRPr="000F650C">
        <w:rPr>
          <w:rFonts w:ascii="Times New Roman" w:hAnsi="Times New Roman" w:cs="Times New Roman"/>
          <w:sz w:val="24"/>
          <w:szCs w:val="24"/>
        </w:rPr>
        <w:t>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</w:t>
      </w:r>
      <w:r w:rsidR="00826376" w:rsidRPr="000F650C">
        <w:rPr>
          <w:rFonts w:ascii="Times New Roman" w:hAnsi="Times New Roman" w:cs="Times New Roman"/>
          <w:sz w:val="24"/>
          <w:szCs w:val="24"/>
        </w:rPr>
        <w:t>при наличии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Pr="000F650C" w:rsidRDefault="00B90E50" w:rsidP="007C5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2.6.1.2. </w:t>
      </w:r>
      <w:r w:rsidRPr="000F650C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lastRenderedPageBreak/>
        <w:t xml:space="preserve">2.6.1.2.1.  Копии правоустанавливающих или </w:t>
      </w:r>
      <w:r w:rsidR="0010096C" w:rsidRPr="000F650C">
        <w:rPr>
          <w:rFonts w:ascii="Times New Roman" w:hAnsi="Times New Roman"/>
          <w:sz w:val="24"/>
          <w:szCs w:val="24"/>
        </w:rPr>
        <w:t>право удостоверяющих</w:t>
      </w:r>
      <w:r w:rsidRPr="000F650C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Pr="000F650C" w:rsidRDefault="00B90E50" w:rsidP="001009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Pr="000F650C" w:rsidRDefault="00B90E50" w:rsidP="001009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Pr="000F650C" w:rsidRDefault="00B90E50" w:rsidP="0010096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</w:t>
      </w:r>
      <w:r w:rsidR="0010096C" w:rsidRPr="000F650C">
        <w:rPr>
          <w:rFonts w:ascii="Times New Roman" w:hAnsi="Times New Roman" w:cs="Times New Roman"/>
          <w:sz w:val="24"/>
          <w:szCs w:val="24"/>
        </w:rPr>
        <w:t>при наличии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Pr="000F650C" w:rsidRDefault="00B90E50" w:rsidP="0010096C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Pr="000F650C" w:rsidRDefault="00B90E50" w:rsidP="001009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Pr="000F650C" w:rsidRDefault="00B90E50" w:rsidP="00100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Pr="000F650C" w:rsidRDefault="00B90E50" w:rsidP="00100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Pr="000F650C" w:rsidRDefault="00B90E50" w:rsidP="00AA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Pr="000F650C" w:rsidRDefault="00B90E50" w:rsidP="00AA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Основания для отказа в приеме документов, необходимых для предоставления государственной услуги: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Pr="000F650C" w:rsidRDefault="00B90E50" w:rsidP="00AA02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9"/>
      <w:bookmarkEnd w:id="8"/>
      <w:r w:rsidRPr="000F650C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Pr="000F650C" w:rsidRDefault="00B90E50" w:rsidP="007A7959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10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0F650C" w:rsidRDefault="00B90E50" w:rsidP="007A7959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11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Pr="000F650C" w:rsidRDefault="00B90E50" w:rsidP="007A7959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2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4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5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Pr="000F650C" w:rsidRDefault="00B90E50" w:rsidP="007A7959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</w:t>
      </w: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исключением случаев перераспределения земельных участков в соответствии с </w:t>
      </w:r>
      <w:hyperlink r:id="rId17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8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0F650C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20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1" w:history="1">
        <w:r w:rsidRPr="000F650C"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Pr="000F650C" w:rsidRDefault="00B90E50" w:rsidP="007A7959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Pr="000F650C" w:rsidRDefault="00B90E50" w:rsidP="007A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Pr="000F650C" w:rsidRDefault="00B90E50" w:rsidP="007A7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Pr="000F650C" w:rsidRDefault="00B90E50" w:rsidP="007A7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Pr="000F650C" w:rsidRDefault="00B90E50" w:rsidP="007A7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Pr="000F650C" w:rsidRDefault="00B90E50" w:rsidP="007B2B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DCD" w:rsidRPr="000F650C" w:rsidRDefault="004E7DCD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9" w:name="_Hlk62049192"/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0F650C">
        <w:rPr>
          <w:rFonts w:ascii="Times New Roman" w:hAnsi="Times New Roman"/>
          <w:sz w:val="24"/>
          <w:szCs w:val="24"/>
        </w:rPr>
        <w:t>пр</w:t>
      </w:r>
      <w:proofErr w:type="spellEnd"/>
      <w:r w:rsidRPr="000F650C">
        <w:rPr>
          <w:rFonts w:ascii="Times New Roman" w:hAnsi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Pr="000F650C" w:rsidRDefault="00B90E50" w:rsidP="007B2B4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lastRenderedPageBreak/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0F650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0F650C">
        <w:rPr>
          <w:rFonts w:ascii="Times New Roman" w:hAnsi="Times New Roman"/>
          <w:sz w:val="24"/>
          <w:szCs w:val="24"/>
        </w:rPr>
        <w:t>);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503"/>
      <w:bookmarkEnd w:id="9"/>
      <w:r w:rsidRPr="000F650C"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10"/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муниципальной </w:t>
      </w:r>
      <w:r w:rsidRPr="000F650C">
        <w:rPr>
          <w:rFonts w:ascii="Times New Roman" w:eastAsia="Calibri" w:hAnsi="Times New Roman"/>
          <w:sz w:val="24"/>
          <w:szCs w:val="24"/>
        </w:rPr>
        <w:lastRenderedPageBreak/>
        <w:t>услуги в соответствии с требованиями, установленными законодательными и иными нормативными правовыми актами: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F650C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0F650C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0F650C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0F650C">
        <w:rPr>
          <w:rFonts w:ascii="Times New Roman" w:eastAsia="Calibri" w:hAnsi="Times New Roman"/>
          <w:sz w:val="24"/>
          <w:szCs w:val="24"/>
        </w:rPr>
        <w:t>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025"/>
      <w:r w:rsidRPr="000F650C">
        <w:rPr>
          <w:rFonts w:ascii="Times New Roman" w:eastAsia="Calibri" w:hAnsi="Times New Roman"/>
          <w:sz w:val="24"/>
          <w:szCs w:val="24"/>
        </w:rPr>
        <w:t xml:space="preserve">2.17.2. </w:t>
      </w:r>
      <w:proofErr w:type="gramStart"/>
      <w:r w:rsidRPr="000F650C">
        <w:rPr>
          <w:rFonts w:ascii="Times New Roman" w:eastAsia="Calibri" w:hAnsi="Times New Roman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1"/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lastRenderedPageBreak/>
        <w:t>получение результата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Pr="000F650C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2" w:name="_Hlk62130841"/>
      <w:r w:rsidRPr="000F650C"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В целях получения результата предоставления услуги на бумажном носителе (если </w:t>
      </w:r>
      <w:r w:rsidR="00BF5CCE" w:rsidRPr="000F650C">
        <w:rPr>
          <w:rFonts w:ascii="Times New Roman" w:eastAsia="Calibri" w:hAnsi="Times New Roman"/>
          <w:sz w:val="24"/>
          <w:szCs w:val="24"/>
        </w:rPr>
        <w:t>заявителем указано</w:t>
      </w:r>
      <w:r w:rsidRPr="000F650C">
        <w:rPr>
          <w:rFonts w:ascii="Times New Roman" w:eastAsia="Calibri" w:hAnsi="Times New Roman"/>
          <w:sz w:val="24"/>
          <w:szCs w:val="24"/>
        </w:rPr>
        <w:t xml:space="preserve">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E7DCD" w:rsidRPr="000F650C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lastRenderedPageBreak/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bookmarkEnd w:id="12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BF5CCE" w:rsidRPr="000F650C" w:rsidRDefault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0F650C" w:rsidRDefault="00B90E50" w:rsidP="00BF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Pr="000F650C" w:rsidRDefault="00B90E50" w:rsidP="00BF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Pr="000F650C" w:rsidRDefault="00B90E50" w:rsidP="00BF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Pr="000F650C" w:rsidRDefault="00B90E50" w:rsidP="00BF5CC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F650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Pr="000F650C" w:rsidRDefault="004E7DCD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ab/>
        <w:t xml:space="preserve">3.1.1. Прием и регистрация заявления и документов на предоставление муниципальной услуги. </w:t>
      </w:r>
    </w:p>
    <w:p w:rsidR="004E7DCD" w:rsidRPr="000F650C" w:rsidRDefault="00B90E50" w:rsidP="00BF5CCE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ab/>
        <w:t xml:space="preserve">3.1.1.1. </w:t>
      </w:r>
      <w:bookmarkStart w:id="13" w:name="_Hlk62130981"/>
      <w:r w:rsidRPr="000F650C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 w:rsidRPr="000F650C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3"/>
    </w:p>
    <w:p w:rsidR="004E7DCD" w:rsidRPr="000F650C" w:rsidRDefault="00B90E50" w:rsidP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Pr="000F650C" w:rsidRDefault="00B90E50" w:rsidP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0F650C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0F650C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Pr="000F650C" w:rsidRDefault="00B90E50" w:rsidP="00BF5C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0F650C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3.1.1.3. </w:t>
      </w:r>
      <w:r w:rsidRPr="000F650C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Pr="000F650C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0F650C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0F650C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Pr="000F650C" w:rsidRDefault="00B90E50" w:rsidP="00BF5C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Pr="000F650C" w:rsidRDefault="00B90E50" w:rsidP="00BF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0F650C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3.1.1.4.</w:t>
      </w:r>
      <w:r w:rsidRPr="000F650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Pr="000F650C" w:rsidRDefault="00B90E50" w:rsidP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Pr="000F650C" w:rsidRDefault="00B90E50" w:rsidP="00BF5C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  <w:r w:rsidRPr="000F650C">
        <w:rPr>
          <w:rFonts w:ascii="Times New Roman" w:eastAsia="Calibri" w:hAnsi="Times New Roman"/>
          <w:sz w:val="24"/>
          <w:szCs w:val="24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Pr="000F650C" w:rsidRDefault="00B90E50" w:rsidP="00BF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Pr="000F650C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Pr="000F650C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Максимальный срок выполнения данной административной процедуры составляет 5 рабочих дней.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Pr="000F650C" w:rsidRDefault="00B90E50" w:rsidP="0073684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 w:rsidRPr="000F650C"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 w:rsidRPr="000F650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0F65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 w:rsidRPr="000F650C"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</w:t>
      </w:r>
      <w:r w:rsidRPr="000F650C"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 w:rsidRPr="000F650C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  <w:r w:rsidRPr="000F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Подготовленное решение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 w:rsidRPr="000F650C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Pr="000F650C" w:rsidRDefault="00B90E50" w:rsidP="0073684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3.1.4.1. </w:t>
      </w:r>
      <w:r w:rsidRPr="000F650C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>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 w:rsidRPr="000F650C">
        <w:rPr>
          <w:rFonts w:ascii="Times New Roman" w:hAnsi="Times New Roman" w:cs="Times New Roman"/>
          <w:sz w:val="24"/>
          <w:szCs w:val="24"/>
        </w:rPr>
        <w:t>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>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 w:rsidRPr="000F650C"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 w:rsidRPr="000F650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0F650C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устанавливает личность заявителя;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>);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 w:rsidRPr="000F650C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0F650C"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 w:rsidRPr="000F650C">
        <w:rPr>
          <w:rFonts w:ascii="Times New Roman" w:hAnsi="Times New Roman"/>
          <w:sz w:val="24"/>
          <w:szCs w:val="24"/>
        </w:rPr>
        <w:t xml:space="preserve">не более 15 минут. </w:t>
      </w:r>
      <w:r w:rsidRPr="000F6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0F650C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0F650C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</w:t>
      </w:r>
      <w:proofErr w:type="gramStart"/>
      <w:r w:rsidRPr="000F650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0F650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0F650C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0F650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0F650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</w:t>
      </w:r>
      <w:r w:rsidRPr="000F650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36848" w:rsidRDefault="00736848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848" w:rsidRDefault="00736848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6848" w:rsidRPr="000F650C" w:rsidRDefault="00736848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0F650C" w:rsidRDefault="004E7DCD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0F650C" w:rsidRDefault="00B90E50" w:rsidP="00736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4" w:name="_Hlk62131189"/>
      <w:r w:rsidRPr="000F650C"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4"/>
    </w:p>
    <w:p w:rsidR="004E7DCD" w:rsidRPr="000F650C" w:rsidRDefault="004E7DCD" w:rsidP="00736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29"/>
      <w:r w:rsidRPr="000F650C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59"/>
      <w:bookmarkEnd w:id="15"/>
      <w:r w:rsidRPr="000F650C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2131296"/>
      <w:bookmarkEnd w:id="16"/>
      <w:r w:rsidRPr="000F650C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7"/>
    <w:p w:rsidR="004E7DCD" w:rsidRPr="000F650C" w:rsidRDefault="004E7DCD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Pr="000F650C" w:rsidRDefault="00B90E50" w:rsidP="00736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Pr="000F650C" w:rsidRDefault="00B90E50" w:rsidP="00736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Pr="000F650C" w:rsidRDefault="00B90E50" w:rsidP="00736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087C01" w:rsidRPr="00087C01">
        <w:rPr>
          <w:rFonts w:ascii="Times New Roman" w:hAnsi="Times New Roman"/>
          <w:bCs/>
          <w:sz w:val="24"/>
          <w:szCs w:val="24"/>
        </w:rPr>
        <w:t xml:space="preserve"> </w:t>
      </w:r>
      <w:r w:rsidR="00087C01">
        <w:rPr>
          <w:rFonts w:ascii="Times New Roman" w:hAnsi="Times New Roman"/>
          <w:bCs/>
          <w:sz w:val="24"/>
          <w:szCs w:val="24"/>
        </w:rPr>
        <w:t xml:space="preserve">многофункционального центра, </w:t>
      </w:r>
      <w:r w:rsidRPr="000F650C"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Pr="000F650C" w:rsidRDefault="004E7DCD" w:rsidP="007368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2131335"/>
      <w:r w:rsidRPr="000F650C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8"/>
      <w:r w:rsidRPr="000F650C">
        <w:rPr>
          <w:rFonts w:ascii="Times New Roman" w:hAnsi="Times New Roman" w:cs="Times New Roman"/>
          <w:sz w:val="24"/>
          <w:szCs w:val="24"/>
        </w:rPr>
        <w:t>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59"/>
      <w:r w:rsidRPr="000F650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</w:t>
      </w:r>
      <w:r w:rsidRPr="000F650C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Pr="000F650C" w:rsidRDefault="00B90E50" w:rsidP="007368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79"/>
      <w:bookmarkEnd w:id="19"/>
      <w:r w:rsidRPr="000F650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94"/>
      <w:bookmarkEnd w:id="20"/>
      <w:r w:rsidRPr="000F650C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416"/>
      <w:bookmarkEnd w:id="21"/>
      <w:r w:rsidRPr="000F650C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0F650C">
        <w:rPr>
          <w:rFonts w:ascii="Times New Roman" w:hAnsi="Times New Roman" w:cs="Times New Roman"/>
          <w:sz w:val="24"/>
          <w:szCs w:val="24"/>
        </w:rPr>
        <w:lastRenderedPageBreak/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35"/>
      <w:bookmarkEnd w:id="22"/>
      <w:r w:rsidRPr="000F650C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4" w:name="_Hlk62131504"/>
      <w:bookmarkEnd w:id="23"/>
      <w:r w:rsidRPr="000F650C"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удовлетворить жалобу;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</w:t>
      </w:r>
      <w:r w:rsidRPr="000F650C">
        <w:rPr>
          <w:rFonts w:ascii="Times New Roman" w:hAnsi="Times New Roman"/>
          <w:sz w:val="24"/>
          <w:szCs w:val="24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Pr="000F650C" w:rsidRDefault="00B90E50" w:rsidP="007368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Pr="000F650C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Pr="000F650C" w:rsidRDefault="00B90E50" w:rsidP="00736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650C"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2131517"/>
      <w:bookmarkEnd w:id="24"/>
      <w:r w:rsidRPr="000F650C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29"/>
      <w:bookmarkEnd w:id="25"/>
      <w:r w:rsidRPr="000F650C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Pr="000F650C" w:rsidRDefault="00B90E50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7DCD" w:rsidRPr="000F650C" w:rsidRDefault="00B90E50" w:rsidP="0073684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7" w:name="_Hlk62131540"/>
      <w:bookmarkEnd w:id="26"/>
      <w:r w:rsidRPr="000F650C">
        <w:rPr>
          <w:rFonts w:ascii="Times New Roman" w:eastAsia="Calibri" w:hAnsi="Times New Roman" w:cs="Calibri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</w:t>
      </w:r>
      <w:r w:rsidRPr="000F650C">
        <w:rPr>
          <w:rFonts w:ascii="Times New Roman" w:eastAsia="Calibri" w:hAnsi="Times New Roman" w:cs="Calibri"/>
          <w:sz w:val="24"/>
          <w:szCs w:val="24"/>
        </w:rPr>
        <w:lastRenderedPageBreak/>
        <w:t>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7"/>
    <w:p w:rsidR="004E7DCD" w:rsidRPr="000F650C" w:rsidRDefault="00B90E50" w:rsidP="0073684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650C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_Hlk62131718"/>
      <w:r w:rsidRPr="000F650C">
        <w:rPr>
          <w:rFonts w:ascii="Times New Roman" w:hAnsi="Times New Roman"/>
          <w:sz w:val="24"/>
          <w:szCs w:val="24"/>
        </w:rPr>
        <w:t xml:space="preserve">6.1. </w:t>
      </w:r>
      <w:r w:rsidRPr="000F650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0F650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6.3. </w:t>
      </w:r>
      <w:r w:rsidRPr="000F650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0F650C">
        <w:rPr>
          <w:rFonts w:ascii="Times New Roman" w:hAnsi="Times New Roman"/>
          <w:sz w:val="24"/>
          <w:szCs w:val="24"/>
        </w:rPr>
        <w:t>муниципальной</w:t>
      </w:r>
      <w:r w:rsidRPr="000F650C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0F650C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0F650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0F650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0F650C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0F650C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0F650C">
        <w:rPr>
          <w:rFonts w:ascii="Times New Roman" w:hAnsi="Times New Roman"/>
          <w:sz w:val="24"/>
          <w:szCs w:val="24"/>
        </w:rPr>
        <w:t xml:space="preserve"> </w:t>
      </w:r>
      <w:r w:rsidRPr="000F650C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0F650C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0F650C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lastRenderedPageBreak/>
        <w:t>- выдает расписку</w:t>
      </w:r>
      <w:r w:rsidRPr="000F650C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0F650C">
        <w:rPr>
          <w:rFonts w:ascii="Times New Roman" w:eastAsia="Calibri" w:hAnsi="Times New Roman"/>
          <w:sz w:val="24"/>
          <w:szCs w:val="24"/>
        </w:rPr>
        <w:t>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0F650C" w:rsidRDefault="00DC45BE" w:rsidP="0073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0F650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0F650C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 xml:space="preserve">6.6.2. </w:t>
      </w:r>
      <w:r w:rsidRPr="000F650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0F650C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0F650C">
        <w:rPr>
          <w:rFonts w:ascii="Times New Roman" w:hAnsi="Times New Roman"/>
          <w:sz w:val="24"/>
          <w:szCs w:val="24"/>
        </w:rPr>
        <w:t xml:space="preserve"> </w:t>
      </w:r>
      <w:r w:rsidRPr="000F650C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0F650C">
        <w:rPr>
          <w:rFonts w:ascii="Times New Roman" w:eastAsia="Calibri" w:hAnsi="Times New Roman"/>
          <w:sz w:val="24"/>
          <w:szCs w:val="24"/>
        </w:rPr>
        <w:t>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С</w:t>
      </w:r>
      <w:r w:rsidRPr="000F650C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0F650C">
        <w:rPr>
          <w:rFonts w:ascii="Times New Roman" w:eastAsia="Calibri" w:hAnsi="Times New Roman"/>
          <w:sz w:val="24"/>
          <w:szCs w:val="24"/>
        </w:rPr>
        <w:t xml:space="preserve"> </w:t>
      </w:r>
      <w:r w:rsidRPr="000F650C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50C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C45BE" w:rsidRPr="000F650C" w:rsidRDefault="00DC45BE" w:rsidP="007368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0C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7D7387" w:rsidRDefault="00DC45BE" w:rsidP="00736848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8"/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 w:rsidP="0073684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7C01" w:rsidRDefault="00087C01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 w:rsidP="00736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 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4E7D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>
      <w:pgSz w:w="11906" w:h="16838"/>
      <w:pgMar w:top="851" w:right="850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9D1085"/>
    <w:multiLevelType w:val="hybridMultilevel"/>
    <w:tmpl w:val="6604408A"/>
    <w:lvl w:ilvl="0" w:tplc="29BC66C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87C01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0F650C"/>
    <w:rsid w:val="0010096C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235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BFD"/>
    <w:rsid w:val="00337FC4"/>
    <w:rsid w:val="003431B1"/>
    <w:rsid w:val="003446B7"/>
    <w:rsid w:val="00351A45"/>
    <w:rsid w:val="00352F9B"/>
    <w:rsid w:val="00355AA8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5D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122E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848"/>
    <w:rsid w:val="00736B06"/>
    <w:rsid w:val="00742586"/>
    <w:rsid w:val="007468F6"/>
    <w:rsid w:val="00750B84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115C"/>
    <w:rsid w:val="007A251B"/>
    <w:rsid w:val="007A5AB8"/>
    <w:rsid w:val="007A7040"/>
    <w:rsid w:val="007A7959"/>
    <w:rsid w:val="007B2321"/>
    <w:rsid w:val="007B2B47"/>
    <w:rsid w:val="007C5C45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26376"/>
    <w:rsid w:val="00832386"/>
    <w:rsid w:val="00845553"/>
    <w:rsid w:val="008460AB"/>
    <w:rsid w:val="008467AA"/>
    <w:rsid w:val="008510AD"/>
    <w:rsid w:val="008546D5"/>
    <w:rsid w:val="00860C16"/>
    <w:rsid w:val="00861308"/>
    <w:rsid w:val="008630C8"/>
    <w:rsid w:val="00866CCD"/>
    <w:rsid w:val="00871A61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71472"/>
    <w:rsid w:val="00A91577"/>
    <w:rsid w:val="00A94998"/>
    <w:rsid w:val="00AA0207"/>
    <w:rsid w:val="00AA20AE"/>
    <w:rsid w:val="00AA467F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BF5CCE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1AD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3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18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7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0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9" Type="http://schemas.openxmlformats.org/officeDocument/2006/relationships/hyperlink" Target="consultantplus://offline/ref=8261C660F8D35C89AA339CDA03B7899121099681BBA18CB622AA3E4293513BF1E4B0AD9622463A28E1BAFDFDE4s8e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4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8DFF-C996-4B91-A852-5E88FE4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15030</Words>
  <Characters>85675</Characters>
  <Application>Microsoft Office Word</Application>
  <DocSecurity>0</DocSecurity>
  <Lines>713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Тимофеева Н. С.</cp:lastModifiedBy>
  <cp:revision>11</cp:revision>
  <cp:lastPrinted>2021-07-08T08:39:00Z</cp:lastPrinted>
  <dcterms:created xsi:type="dcterms:W3CDTF">2021-02-10T00:15:00Z</dcterms:created>
  <dcterms:modified xsi:type="dcterms:W3CDTF">2021-08-27T09:16:00Z</dcterms:modified>
</cp:coreProperties>
</file>