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word/_rels/document.xml.rels" ContentType="application/vnd.openxmlformats-package.relationships+xml"/>
  <Override PartName="/word/footer1.xml" ContentType="application/vnd.openxmlformats-officedocument.wordprocessingml.footer+xml"/>
  <Override PartName="/word/header1.xml" ContentType="application/vnd.openxmlformats-officedocument.wordprocessingml.header+xml"/>
  <Override PartName="/word/glossary/_rels/document.xml.rels" ContentType="application/vnd.openxmlformats-package.relationships+xml"/>
  <Override PartName="/word/glossary/webSettings.xml" ContentType="application/vnd.openxmlformats-officedocument.wordprocessingml.webSettings+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fontTable.xml" ContentType="application/vnd.openxmlformats-officedocument.wordprocessingml.fontTable+xml"/>
  <Override PartName="/word/glossary/settings.xml" ContentType="application/vnd.openxmlformats-officedocument.wordprocessingml.settings+xml"/>
  <Override PartName="/word/header2.xml" ContentType="application/vnd.openxmlformats-officedocument.wordprocessingml.header+xml"/>
  <Override PartName="/word/media/image2.wmf" ContentType="image/x-wmf"/>
  <Override PartName="/word/media/image3.png" ContentType="image/png"/>
  <Override PartName="/word/media/image1.png" ContentType="image/png"/>
  <Override PartName="/word/footer2.xml" ContentType="application/vnd.openxmlformats-officedocument.wordprocessingml.footer+xml"/>
  <Override PartName="/word/document.xml" ContentType="application/vnd.openxmlformats-officedocument.wordprocessingml.document.main+xml"/>
  <Override PartName="/word/theme/theme1.xml" ContentType="application/vnd.openxmlformats-officedocument.theme+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footer4.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_rels/.rels" ContentType="application/vnd.openxmlformats-package.relationships+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Override PartName="/docProps/app.xml" ContentType="application/vnd.openxmlformats-officedocument.extended-properties+xml"/>
  <Override PartName="/docProps/custom.xml" ContentType="application/vnd.openxmlformats-officedocument.custom-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sz w:val="28"/>
          <w:szCs w:val="28"/>
          <w:lang w:val="en-US"/>
        </w:rPr>
      </w:pPr>
      <w:r>
        <w:rPr/>
        <w:drawing>
          <wp:inline distT="0" distB="0" distL="0" distR="0">
            <wp:extent cx="675640" cy="846455"/>
            <wp:effectExtent l="0" t="0" r="0" b="0"/>
            <wp:docPr id="1"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5" descr=""/>
                    <pic:cNvPicPr>
                      <a:picLocks noChangeAspect="1" noChangeArrowheads="1"/>
                    </pic:cNvPicPr>
                  </pic:nvPicPr>
                  <pic:blipFill>
                    <a:blip r:embed="rId2"/>
                    <a:stretch>
                      <a:fillRect/>
                    </a:stretch>
                  </pic:blipFill>
                  <pic:spPr bwMode="auto">
                    <a:xfrm>
                      <a:off x="0" y="0"/>
                      <a:ext cx="675640" cy="846455"/>
                    </a:xfrm>
                    <a:prstGeom prst="rect">
                      <a:avLst/>
                    </a:prstGeom>
                  </pic:spPr>
                </pic:pic>
              </a:graphicData>
            </a:graphic>
          </wp:inline>
        </w:drawing>
      </w:r>
    </w:p>
    <w:p>
      <w:pPr>
        <w:pStyle w:val="Normal"/>
        <w:jc w:val="center"/>
        <w:rPr>
          <w:b/>
          <w:b/>
          <w:sz w:val="36"/>
          <w:szCs w:val="36"/>
        </w:rPr>
      </w:pPr>
      <w:r>
        <w:rPr>
          <w:b/>
          <w:sz w:val="36"/>
          <w:szCs w:val="36"/>
        </w:rPr>
        <w:t>Российская Федерация</w:t>
      </w:r>
    </w:p>
    <w:p>
      <w:pPr>
        <w:pStyle w:val="Normal"/>
        <w:jc w:val="center"/>
        <w:rPr>
          <w:b/>
          <w:b/>
          <w:sz w:val="28"/>
          <w:szCs w:val="28"/>
        </w:rPr>
      </w:pPr>
      <w:r>
        <w:rPr>
          <w:b/>
          <w:sz w:val="28"/>
          <w:szCs w:val="28"/>
        </w:rPr>
        <w:t>КЕМЕРОВСКАЯ ОБЛАСТЬ - КУЗБАСС</w:t>
      </w:r>
    </w:p>
    <w:p>
      <w:pPr>
        <w:pStyle w:val="Normal"/>
        <w:jc w:val="center"/>
        <w:rPr>
          <w:b/>
          <w:b/>
          <w:sz w:val="36"/>
          <w:szCs w:val="36"/>
        </w:rPr>
      </w:pPr>
      <w:r>
        <w:rPr>
          <w:b/>
          <w:sz w:val="36"/>
          <w:szCs w:val="36"/>
        </w:rPr>
        <w:t>Топкинский муниципальный округ</w:t>
      </w:r>
    </w:p>
    <w:p>
      <w:pPr>
        <w:pStyle w:val="Normal"/>
        <w:jc w:val="center"/>
        <w:rPr>
          <w:b/>
          <w:b/>
          <w:sz w:val="28"/>
          <w:szCs w:val="28"/>
        </w:rPr>
      </w:pPr>
      <w:r>
        <w:rPr>
          <w:b/>
          <w:sz w:val="28"/>
          <w:szCs w:val="28"/>
        </w:rPr>
        <w:t>АДМИНИСТРАЦИЯ</w:t>
      </w:r>
    </w:p>
    <w:p>
      <w:pPr>
        <w:pStyle w:val="Normal"/>
        <w:jc w:val="center"/>
        <w:rPr>
          <w:b/>
          <w:b/>
          <w:sz w:val="28"/>
          <w:szCs w:val="28"/>
        </w:rPr>
      </w:pPr>
      <w:r>
        <w:rPr>
          <w:b/>
          <w:sz w:val="28"/>
          <w:szCs w:val="28"/>
        </w:rPr>
        <w:t xml:space="preserve">ТОПКИНСКОГО МУНИЦИПАЛЬНОГО </w:t>
      </w:r>
      <w:r>
        <w:rPr>
          <w:b/>
          <w:caps/>
          <w:sz w:val="28"/>
          <w:szCs w:val="28"/>
        </w:rPr>
        <w:t>округа</w:t>
      </w:r>
    </w:p>
    <w:p>
      <w:pPr>
        <w:pStyle w:val="Normal"/>
        <w:tabs>
          <w:tab w:val="clear" w:pos="708"/>
          <w:tab w:val="left" w:pos="851" w:leader="none"/>
          <w:tab w:val="left" w:pos="2925" w:leader="none"/>
          <w:tab w:val="center" w:pos="5102" w:leader="none"/>
          <w:tab w:val="left" w:pos="9498" w:leader="none"/>
        </w:tabs>
        <w:spacing w:lineRule="auto" w:line="360"/>
        <w:jc w:val="center"/>
        <w:rPr>
          <w:b/>
          <w:b/>
          <w:bCs/>
          <w:sz w:val="36"/>
          <w:szCs w:val="36"/>
        </w:rPr>
      </w:pPr>
      <w:r>
        <w:rPr>
          <w:b/>
          <w:bCs/>
          <w:sz w:val="36"/>
          <w:szCs w:val="36"/>
        </w:rPr>
        <w:t>ПОСТАНОВЛЕНИЕ</w:t>
      </w:r>
    </w:p>
    <w:p>
      <w:pPr>
        <w:pStyle w:val="Normal"/>
        <w:jc w:val="center"/>
        <w:rPr>
          <w:b/>
          <w:b/>
          <w:sz w:val="28"/>
          <w:szCs w:val="28"/>
        </w:rPr>
      </w:pPr>
      <w:r>
        <w:rPr>
          <w:b/>
          <w:sz w:val="28"/>
          <w:szCs w:val="28"/>
        </w:rPr>
        <w:t xml:space="preserve">от </w:t>
      </w:r>
      <w:sdt>
        <w:sdtPr>
          <w:date w:fullDate="2024-10-07T00:00:00Z">
            <w:dateFormat w:val="d MMMM yyyy 'года'"/>
            <w:lid w:val="ru-RU"/>
            <w:storeMappedDataAs w:val="dateTime"/>
            <w:calendar w:val="gregorian"/>
          </w:date>
          <w:id w:val="535482577"/>
          <w:placeholder>
            <w:docPart w:val="5CDD29743E8E4CAC920EF9F07021ECC1"/>
          </w:placeholder>
          <w:alias w:val="Дата документа"/>
        </w:sdtPr>
        <w:sdtContent>
          <w:r>
            <w:rPr>
              <w:b/>
              <w:sz w:val="28"/>
              <w:szCs w:val="28"/>
            </w:rPr>
          </w:r>
          <w:r>
            <w:rPr>
              <w:b/>
              <w:sz w:val="28"/>
              <w:szCs w:val="28"/>
            </w:rPr>
            <w:t>7 октября 2024 года</w:t>
          </w:r>
          <w:r>
            <w:rPr>
              <w:b/>
              <w:sz w:val="28"/>
              <w:szCs w:val="28"/>
            </w:rPr>
          </w:r>
        </w:sdtContent>
      </w:sdt>
      <w:r>
        <w:rPr>
          <w:b/>
          <w:sz w:val="28"/>
          <w:szCs w:val="28"/>
        </w:rPr>
        <w:t xml:space="preserve"> № </w:t>
      </w:r>
      <w:r>
        <w:rPr>
          <w:b/>
          <w:sz w:val="28"/>
          <w:szCs w:val="28"/>
        </w:rPr>
        <w:t>1790-п</w:t>
      </w:r>
      <w:bookmarkStart w:id="0" w:name="_GoBack"/>
      <w:bookmarkEnd w:id="0"/>
    </w:p>
    <w:p>
      <w:pPr>
        <w:pStyle w:val="Normal"/>
        <w:jc w:val="center"/>
        <w:rPr>
          <w:b/>
          <w:b/>
          <w:sz w:val="28"/>
          <w:szCs w:val="28"/>
        </w:rPr>
      </w:pPr>
      <w:sdt>
        <w:sdtPr>
          <w:id w:val="397560211"/>
          <w:placeholder>
            <w:docPart w:val="86C8EE755C8A491AB2E928906E30A895"/>
          </w:placeholder>
          <w:alias w:val="Место издания"/>
        </w:sdtPr>
        <w:sdtContent>
          <w:r>
            <w:rPr/>
            <w:t>г. Топки</w:t>
          </w:r>
        </w:sdtContent>
      </w:sdt>
    </w:p>
    <w:p>
      <w:pPr>
        <w:pStyle w:val="Normal"/>
        <w:tabs>
          <w:tab w:val="clear" w:pos="708"/>
          <w:tab w:val="left" w:pos="5100" w:leader="none"/>
        </w:tabs>
        <w:spacing w:lineRule="auto" w:line="360"/>
        <w:jc w:val="both"/>
        <w:rPr>
          <w:iCs/>
        </w:rPr>
      </w:pPr>
      <w:r>
        <w:rPr>
          <w:iCs/>
        </w:rPr>
      </w:r>
    </w:p>
    <w:tbl>
      <w:tblPr>
        <w:tblStyle w:val="af9"/>
        <w:tblW w:w="7566" w:type="dxa"/>
        <w:jc w:val="center"/>
        <w:tblInd w:w="0" w:type="dxa"/>
        <w:tblLayout w:type="fixed"/>
        <w:tblCellMar>
          <w:top w:w="0" w:type="dxa"/>
          <w:left w:w="0" w:type="dxa"/>
          <w:bottom w:w="0" w:type="dxa"/>
          <w:right w:w="0" w:type="dxa"/>
        </w:tblCellMar>
        <w:tblLook w:lastRow="0" w:firstRow="1" w:lastColumn="0" w:firstColumn="1" w:val="04a0" w:noHBand="0" w:noVBand="1"/>
      </w:tblPr>
      <w:tblGrid>
        <w:gridCol w:w="7566"/>
      </w:tblGrid>
      <w:tr>
        <w:trPr/>
        <w:tc>
          <w:tcPr>
            <w:tcW w:w="7566" w:type="dxa"/>
            <w:tcBorders>
              <w:top w:val="nil"/>
              <w:left w:val="nil"/>
              <w:bottom w:val="nil"/>
              <w:right w:val="nil"/>
            </w:tcBorders>
          </w:tcPr>
          <w:p>
            <w:pPr>
              <w:pStyle w:val="Normal"/>
              <w:widowControl w:val="false"/>
              <w:tabs>
                <w:tab w:val="clear" w:pos="708"/>
                <w:tab w:val="left" w:pos="5100" w:leader="none"/>
              </w:tabs>
              <w:suppressAutoHyphens w:val="true"/>
              <w:spacing w:before="0" w:after="0"/>
              <w:jc w:val="center"/>
              <w:rPr>
                <w:b/>
                <w:b/>
                <w:iCs/>
              </w:rPr>
            </w:pPr>
            <w:sdt>
              <w:sdtPr>
                <w:id w:val="1087288778"/>
                <w:placeholder>
                  <w:docPart w:val="618329B7271B4D68B55E5DDDC210197F"/>
                </w:placeholder>
                <w:alias w:val="Заголовок к тексту"/>
              </w:sdtPr>
              <w:sdtContent>
                <w:r>
                  <w:rPr>
                    <w:rFonts w:eastAsia="Times New Roman" w:cs="Times New Roman"/>
                    <w:kern w:val="0"/>
                    <w:lang w:val="ru-RU" w:eastAsia="ru-RU" w:bidi="ar-SA"/>
                  </w:rPr>
                  <w:t>Об утверждении муниципальной программы «Укрепление общественного здоровья на территории Топкинского муниципального округа на 2025-2028 годы»</w:t>
                </w:r>
              </w:sdtContent>
            </w:sdt>
          </w:p>
        </w:tc>
      </w:tr>
    </w:tbl>
    <w:p>
      <w:pPr>
        <w:pStyle w:val="Normal"/>
        <w:ind w:firstLine="709"/>
        <w:jc w:val="both"/>
        <w:rPr>
          <w:sz w:val="28"/>
          <w:szCs w:val="28"/>
        </w:rPr>
      </w:pPr>
      <w:r>
        <w:rPr>
          <w:sz w:val="28"/>
          <w:szCs w:val="28"/>
        </w:rPr>
        <w:t xml:space="preserve">В соответствии с Федеральным законом от 06.10.2003 № 131-ФЗ «Об общих принципах организации местного самоуправления в Российской Федерации», </w:t>
      </w:r>
      <w:bookmarkStart w:id="1" w:name="__DdeLink__74_4229064640"/>
      <w:r>
        <w:rPr>
          <w:sz w:val="28"/>
          <w:szCs w:val="28"/>
        </w:rPr>
        <w:t>Указом Президента Российской Федерации от 07.05.2018                            № 204 «О национальных целях и стратегических задачах развития Российской Федерации на период до 2024 года»</w:t>
      </w:r>
      <w:bookmarkEnd w:id="1"/>
      <w:r>
        <w:rPr>
          <w:sz w:val="28"/>
          <w:szCs w:val="28"/>
        </w:rPr>
        <w:t xml:space="preserve">, </w:t>
      </w:r>
      <w:r>
        <w:rPr>
          <w:rFonts w:eastAsia="+mj-ea"/>
          <w:sz w:val="28"/>
          <w:szCs w:val="28"/>
        </w:rPr>
        <w:t>Указом Президента Российской Федерации от 07.05.2024 № 309 «О национальных целях развития Российской Федерации на период до 2030 года и на перспективу до 2036 года»</w:t>
      </w:r>
      <w:r>
        <w:rPr>
          <w:sz w:val="28"/>
          <w:szCs w:val="28"/>
        </w:rPr>
        <w:t>, в целях реализации федерального проекта «Формирование системы мотивации граждан к здоровому образу жизни, включая здоровое питание и отказ от вредных привычек» национального проекта «Демография»:</w:t>
      </w:r>
    </w:p>
    <w:p>
      <w:pPr>
        <w:pStyle w:val="Normal"/>
        <w:ind w:firstLine="709"/>
        <w:jc w:val="both"/>
        <w:rPr>
          <w:sz w:val="28"/>
          <w:szCs w:val="28"/>
        </w:rPr>
      </w:pPr>
      <w:r>
        <w:rPr>
          <w:sz w:val="28"/>
          <w:szCs w:val="28"/>
        </w:rPr>
        <w:t>1. Утвердить муниципальную программу «Укрепление общественного здоровья на территории Топкинского муниципального округа на 2025-2028 годы».</w:t>
      </w:r>
    </w:p>
    <w:p>
      <w:pPr>
        <w:pStyle w:val="ConsPlusNonformat"/>
        <w:widowControl/>
        <w:ind w:firstLine="709"/>
        <w:jc w:val="both"/>
        <w:rPr>
          <w:rFonts w:ascii="Times New Roman" w:hAnsi="Times New Roman" w:cs="Times New Roman"/>
          <w:sz w:val="28"/>
          <w:szCs w:val="28"/>
        </w:rPr>
      </w:pPr>
      <w:r>
        <w:rPr>
          <w:rFonts w:cs="Times New Roman" w:ascii="Times New Roman" w:hAnsi="Times New Roman"/>
          <w:sz w:val="28"/>
          <w:szCs w:val="28"/>
        </w:rPr>
        <w:t xml:space="preserve">2. Разместить постановление </w:t>
      </w:r>
      <w:r>
        <w:rPr>
          <w:rFonts w:cs="Times New Roman" w:ascii="Times New Roman" w:hAnsi="Times New Roman"/>
          <w:color w:val="000000"/>
          <w:sz w:val="28"/>
          <w:szCs w:val="28"/>
        </w:rPr>
        <w:t>на официальном сайте администрации Топкинского муниципального округа в информационно-телекоммуникационной сети «Интернет».</w:t>
      </w:r>
    </w:p>
    <w:p>
      <w:pPr>
        <w:pStyle w:val="ConsPlusNonformat"/>
        <w:widowControl/>
        <w:ind w:firstLine="862"/>
        <w:jc w:val="both"/>
        <w:rPr>
          <w:rFonts w:ascii="Times New Roman" w:hAnsi="Times New Roman" w:cs="Times New Roman"/>
          <w:sz w:val="28"/>
          <w:szCs w:val="28"/>
        </w:rPr>
      </w:pPr>
      <w:r>
        <w:rPr>
          <w:rFonts w:cs="Times New Roman" w:ascii="Times New Roman" w:hAnsi="Times New Roman"/>
          <w:sz w:val="28"/>
          <w:szCs w:val="28"/>
        </w:rPr>
        <w:t>3. Контроль за исполнением постановления возложить на заместителя главы Топкинского муниципального округа по социальным вопросам Т.Н.Смыкову.</w:t>
      </w:r>
    </w:p>
    <w:p>
      <w:pPr>
        <w:pStyle w:val="ConsPlusNonformat"/>
        <w:widowControl/>
        <w:ind w:firstLine="862"/>
        <w:jc w:val="both"/>
        <w:rPr/>
      </w:pPr>
      <w:r>
        <w:rPr>
          <w:rFonts w:cs="Times New Roman" w:ascii="Times New Roman" w:hAnsi="Times New Roman"/>
          <w:sz w:val="28"/>
          <w:szCs w:val="28"/>
        </w:rPr>
        <w:t>4. Постановление вступает в силу после официального обнародования.</w:t>
      </w:r>
    </w:p>
    <w:p>
      <w:pPr>
        <w:pStyle w:val="ListNumber"/>
        <w:numPr>
          <w:ilvl w:val="0"/>
          <w:numId w:val="0"/>
        </w:numPr>
        <w:spacing w:lineRule="auto" w:line="360"/>
        <w:ind w:left="0" w:hanging="0"/>
        <w:jc w:val="both"/>
        <w:rPr>
          <w:sz w:val="28"/>
          <w:szCs w:val="28"/>
        </w:rPr>
      </w:pPr>
      <w:r>
        <w:rPr>
          <w:sz w:val="28"/>
          <w:szCs w:val="28"/>
        </w:rPr>
      </w:r>
    </w:p>
    <w:tbl>
      <w:tblPr>
        <w:tblStyle w:val="af9"/>
        <w:tblW w:w="10201" w:type="dxa"/>
        <w:jc w:val="left"/>
        <w:tblInd w:w="0" w:type="dxa"/>
        <w:tblLayout w:type="fixed"/>
        <w:tblCellMar>
          <w:top w:w="0" w:type="dxa"/>
          <w:left w:w="0" w:type="dxa"/>
          <w:bottom w:w="0" w:type="dxa"/>
          <w:right w:w="0" w:type="dxa"/>
        </w:tblCellMar>
        <w:tblLook w:noVBand="1" w:val="04a0" w:noHBand="0" w:lastColumn="0" w:firstColumn="1" w:lastRow="0" w:firstRow="1"/>
      </w:tblPr>
      <w:tblGrid>
        <w:gridCol w:w="3390"/>
        <w:gridCol w:w="3579"/>
        <w:gridCol w:w="3232"/>
      </w:tblGrid>
      <w:tr>
        <w:trPr>
          <w:trHeight w:val="675" w:hRule="atLeast"/>
        </w:trPr>
        <w:tc>
          <w:tcPr>
            <w:tcW w:w="3390" w:type="dxa"/>
            <w:tcBorders>
              <w:top w:val="nil"/>
              <w:left w:val="nil"/>
              <w:bottom w:val="nil"/>
              <w:right w:val="nil"/>
            </w:tcBorders>
          </w:tcPr>
          <w:p>
            <w:pPr>
              <w:pStyle w:val="ListNumber"/>
              <w:widowControl w:val="false"/>
              <w:numPr>
                <w:ilvl w:val="0"/>
                <w:numId w:val="0"/>
              </w:numPr>
              <w:suppressAutoHyphens w:val="true"/>
              <w:spacing w:before="0" w:after="0"/>
              <w:ind w:left="-5" w:hanging="0"/>
              <w:contextualSpacing/>
              <w:jc w:val="left"/>
              <w:rPr>
                <w:color w:val="000000" w:themeColor="text1"/>
                <w:sz w:val="28"/>
                <w:szCs w:val="28"/>
              </w:rPr>
            </w:pPr>
            <w:sdt>
              <w:sdtPr>
                <w:id w:val="35463340"/>
                <w:placeholder>
                  <w:docPart w:val="3C648305D72045B19E70A5FE38150855"/>
                </w:placeholder>
                <w:alias w:val="Должность подписывающего"/>
              </w:sdtPr>
              <w:sdtContent>
                <w:r>
                  <w:rPr>
                    <w:rFonts w:eastAsia="Times New Roman" w:cs="Times New Roman"/>
                    <w:kern w:val="0"/>
                    <w:lang w:val="ru-RU" w:eastAsia="ru-RU" w:bidi="ar-SA"/>
                  </w:rPr>
                  <w:t>Глава Топкинского муниципального округа</w:t>
                </w:r>
              </w:sdtContent>
            </w:sdt>
          </w:p>
        </w:tc>
        <w:tc>
          <w:tcPr>
            <w:tcW w:w="3579" w:type="dxa"/>
            <w:tcBorders>
              <w:top w:val="nil"/>
              <w:left w:val="nil"/>
              <w:bottom w:val="nil"/>
              <w:right w:val="nil"/>
            </w:tcBorders>
            <w:vAlign w:val="center"/>
          </w:tcPr>
          <w:p>
            <w:pPr>
              <w:pStyle w:val="ListNumber"/>
              <w:widowControl w:val="false"/>
              <w:numPr>
                <w:ilvl w:val="0"/>
                <w:numId w:val="0"/>
              </w:numPr>
              <w:suppressAutoHyphens w:val="true"/>
              <w:spacing w:lineRule="auto" w:line="360" w:before="0" w:after="0"/>
              <w:ind w:left="0" w:hanging="0"/>
              <w:contextualSpacing/>
              <w:jc w:val="both"/>
              <w:rPr>
                <w:color w:val="000000" w:themeColor="text1"/>
                <w:sz w:val="28"/>
                <w:szCs w:val="28"/>
              </w:rPr>
            </w:pPr>
            <w:r>
              <w:rPr>
                <w:rFonts w:eastAsia="Times New Roman" w:cs="Segoe UI Emoji" w:ascii="Segoe UI Emoji" w:hAnsi="Segoe UI Emoji"/>
                <w:color w:val="FFFFFF" w:themeColor="background1"/>
                <w:kern w:val="0"/>
                <w:sz w:val="28"/>
                <w:szCs w:val="28"/>
                <w:lang w:val="ru-RU" w:eastAsia="ru-RU" w:bidi="ar-SA"/>
              </w:rPr>
              <w:t>⚓</w:t>
            </w:r>
            <w:r>
              <w:rPr>
                <w:rFonts w:eastAsia="Times New Roman" w:cs="Times New Roman"/>
                <w:color w:val="FFFFFF" w:themeColor="background1"/>
                <w:kern w:val="0"/>
                <w:sz w:val="28"/>
                <w:szCs w:val="28"/>
                <w:lang w:val="ru-RU" w:eastAsia="ru-RU" w:bidi="ar-SA"/>
              </w:rPr>
              <w:t>^</w:t>
            </w:r>
          </w:p>
        </w:tc>
        <w:tc>
          <w:tcPr>
            <w:tcW w:w="3232" w:type="dxa"/>
            <w:tcBorders>
              <w:top w:val="nil"/>
              <w:left w:val="nil"/>
              <w:bottom w:val="nil"/>
              <w:right w:val="nil"/>
            </w:tcBorders>
            <w:vAlign w:val="bottom"/>
          </w:tcPr>
          <w:p>
            <w:pPr>
              <w:pStyle w:val="ListNumber"/>
              <w:widowControl w:val="false"/>
              <w:numPr>
                <w:ilvl w:val="0"/>
                <w:numId w:val="0"/>
              </w:numPr>
              <w:suppressAutoHyphens w:val="true"/>
              <w:spacing w:before="0" w:after="0"/>
              <w:ind w:left="0" w:right="1126" w:hanging="0"/>
              <w:contextualSpacing/>
              <w:jc w:val="right"/>
              <w:rPr>
                <w:color w:val="000000" w:themeColor="text1"/>
                <w:sz w:val="28"/>
                <w:szCs w:val="28"/>
              </w:rPr>
            </w:pPr>
            <w:sdt>
              <w:sdtPr>
                <w:id w:val="444960418"/>
                <w:placeholder>
                  <w:docPart w:val="8F9D1C34092F41F8AD8AC9883A16AEE6"/>
                </w:placeholder>
                <w:alias w:val="ФИО подписывающего"/>
              </w:sdtPr>
              <w:sdtContent>
                <w:r>
                  <w:rPr>
                    <w:rFonts w:eastAsia="Times New Roman" w:cs="Times New Roman"/>
                    <w:kern w:val="0"/>
                    <w:lang w:val="ru-RU" w:eastAsia="ru-RU" w:bidi="ar-SA"/>
                  </w:rPr>
                  <w:t>С.В. Фролов</w:t>
                </w:r>
              </w:sdtContent>
            </w:sdt>
          </w:p>
        </w:tc>
      </w:tr>
    </w:tbl>
    <w:p>
      <w:pPr>
        <w:pStyle w:val="ListNumber"/>
        <w:numPr>
          <w:ilvl w:val="0"/>
          <w:numId w:val="0"/>
        </w:numPr>
        <w:spacing w:lineRule="auto" w:line="360"/>
        <w:ind w:left="0" w:hanging="0"/>
        <w:jc w:val="both"/>
        <w:rPr>
          <w:color w:val="000000" w:themeColor="text1"/>
          <w:sz w:val="28"/>
          <w:szCs w:val="28"/>
        </w:rPr>
      </w:pPr>
      <w:r>
        <w:rPr/>
      </w:r>
    </w:p>
    <w:p>
      <w:pPr>
        <w:pStyle w:val="ListNumber"/>
        <w:numPr>
          <w:ilvl w:val="0"/>
          <w:numId w:val="0"/>
        </w:numPr>
        <w:spacing w:lineRule="auto" w:line="360"/>
        <w:ind w:left="0" w:hanging="0"/>
        <w:jc w:val="both"/>
        <w:rPr>
          <w:color w:val="000000" w:themeColor="text1"/>
          <w:sz w:val="28"/>
          <w:szCs w:val="28"/>
        </w:rPr>
      </w:pPr>
      <w:r>
        <w:rPr/>
      </w:r>
    </w:p>
    <w:p>
      <w:pPr>
        <w:pStyle w:val="Normal"/>
        <w:shd w:fill="FFFFFF" w:val="clear"/>
        <w:jc w:val="right"/>
        <w:rPr>
          <w:sz w:val="28"/>
          <w:szCs w:val="28"/>
        </w:rPr>
      </w:pPr>
      <w:r>
        <w:rPr>
          <w:sz w:val="28"/>
          <w:szCs w:val="28"/>
        </w:rPr>
        <w:t>УТВЕРЖДЕНО</w:t>
      </w:r>
    </w:p>
    <w:p>
      <w:pPr>
        <w:pStyle w:val="Normal"/>
        <w:shd w:fill="FFFFFF" w:val="clear"/>
        <w:jc w:val="right"/>
        <w:rPr>
          <w:sz w:val="28"/>
          <w:szCs w:val="28"/>
        </w:rPr>
      </w:pPr>
      <w:r>
        <w:rPr>
          <w:sz w:val="28"/>
          <w:szCs w:val="28"/>
        </w:rPr>
        <w:t xml:space="preserve">постановлением администрации </w:t>
      </w:r>
    </w:p>
    <w:p>
      <w:pPr>
        <w:pStyle w:val="Normal"/>
        <w:shd w:fill="FFFFFF" w:val="clear"/>
        <w:jc w:val="right"/>
        <w:rPr>
          <w:sz w:val="28"/>
          <w:szCs w:val="28"/>
        </w:rPr>
      </w:pPr>
      <w:r>
        <w:rPr>
          <w:sz w:val="28"/>
          <w:szCs w:val="28"/>
        </w:rPr>
        <w:t xml:space="preserve">Топкинского муниципального округа </w:t>
      </w:r>
    </w:p>
    <w:p>
      <w:pPr>
        <w:pStyle w:val="Normal"/>
        <w:shd w:fill="FFFFFF" w:val="clear"/>
        <w:jc w:val="right"/>
        <w:rPr/>
      </w:pPr>
      <w:r>
        <w:rPr>
          <w:sz w:val="28"/>
          <w:szCs w:val="28"/>
        </w:rPr>
        <w:t>от 07 октября 2024 года № 1790-п</w:t>
      </w:r>
    </w:p>
    <w:p>
      <w:pPr>
        <w:pStyle w:val="Normal"/>
        <w:shd w:fill="FFFFFF" w:val="clear"/>
        <w:jc w:val="right"/>
        <w:rPr>
          <w:b/>
          <w:b/>
          <w:bCs/>
          <w:color w:val="000000"/>
          <w:sz w:val="28"/>
          <w:szCs w:val="28"/>
        </w:rPr>
      </w:pPr>
      <w:r>
        <w:rPr>
          <w:b/>
          <w:bCs/>
          <w:color w:val="000000"/>
          <w:sz w:val="28"/>
          <w:szCs w:val="28"/>
        </w:rPr>
      </w:r>
    </w:p>
    <w:p>
      <w:pPr>
        <w:pStyle w:val="Normal"/>
        <w:shd w:fill="FFFFFF" w:val="clear"/>
        <w:jc w:val="center"/>
        <w:rPr>
          <w:b/>
          <w:b/>
          <w:bCs/>
          <w:color w:val="000000"/>
          <w:sz w:val="28"/>
          <w:szCs w:val="28"/>
        </w:rPr>
      </w:pPr>
      <w:r>
        <w:rPr>
          <w:b/>
          <w:bCs/>
          <w:color w:val="000000"/>
          <w:sz w:val="28"/>
          <w:szCs w:val="28"/>
        </w:rPr>
        <w:t>ПАСПОРТ</w:t>
      </w:r>
    </w:p>
    <w:p>
      <w:pPr>
        <w:pStyle w:val="Normal"/>
        <w:shd w:fill="FFFFFF" w:val="clear"/>
        <w:jc w:val="center"/>
        <w:rPr>
          <w:b/>
          <w:b/>
          <w:bCs/>
          <w:color w:val="000000"/>
          <w:sz w:val="28"/>
          <w:szCs w:val="28"/>
        </w:rPr>
      </w:pPr>
      <w:r>
        <w:rPr>
          <w:b/>
          <w:bCs/>
          <w:color w:val="000000"/>
          <w:sz w:val="28"/>
          <w:szCs w:val="28"/>
        </w:rPr>
        <w:t>муниципальной программы «Укрепление общественного здоровья</w:t>
      </w:r>
    </w:p>
    <w:p>
      <w:pPr>
        <w:pStyle w:val="Normal"/>
        <w:shd w:fill="FFFFFF" w:val="clear"/>
        <w:jc w:val="center"/>
        <w:rPr>
          <w:b/>
          <w:b/>
          <w:bCs/>
          <w:color w:val="000000"/>
          <w:sz w:val="28"/>
          <w:szCs w:val="28"/>
        </w:rPr>
      </w:pPr>
      <w:r>
        <w:rPr>
          <w:b/>
          <w:bCs/>
          <w:color w:val="000000"/>
          <w:sz w:val="28"/>
          <w:szCs w:val="28"/>
        </w:rPr>
        <w:t xml:space="preserve">на территории Топкинского муниципального округа </w:t>
      </w:r>
    </w:p>
    <w:p>
      <w:pPr>
        <w:pStyle w:val="Normal"/>
        <w:shd w:fill="FFFFFF" w:val="clear"/>
        <w:jc w:val="center"/>
        <w:rPr/>
      </w:pPr>
      <w:r>
        <w:rPr>
          <w:b/>
          <w:bCs/>
          <w:color w:val="000000"/>
          <w:sz w:val="28"/>
          <w:szCs w:val="28"/>
        </w:rPr>
        <w:t>на 2025-2028 годы</w:t>
      </w:r>
      <w:r>
        <w:rPr>
          <w:color w:val="000000"/>
          <w:sz w:val="28"/>
          <w:szCs w:val="28"/>
        </w:rPr>
        <w:t>»</w:t>
      </w:r>
    </w:p>
    <w:p>
      <w:pPr>
        <w:pStyle w:val="Normal"/>
        <w:shd w:fill="FFFFFF" w:val="clear"/>
        <w:jc w:val="center"/>
        <w:rPr>
          <w:color w:val="000000"/>
          <w:sz w:val="28"/>
          <w:szCs w:val="28"/>
        </w:rPr>
      </w:pPr>
      <w:r>
        <w:rPr>
          <w:color w:val="000000"/>
          <w:sz w:val="28"/>
          <w:szCs w:val="28"/>
        </w:rPr>
      </w:r>
    </w:p>
    <w:tbl>
      <w:tblPr>
        <w:tblW w:w="9180" w:type="dxa"/>
        <w:jc w:val="left"/>
        <w:tblInd w:w="-113" w:type="dxa"/>
        <w:tblLayout w:type="fixed"/>
        <w:tblCellMar>
          <w:top w:w="0" w:type="dxa"/>
          <w:left w:w="108" w:type="dxa"/>
          <w:bottom w:w="0" w:type="dxa"/>
          <w:right w:w="108" w:type="dxa"/>
        </w:tblCellMar>
      </w:tblPr>
      <w:tblGrid>
        <w:gridCol w:w="3369"/>
        <w:gridCol w:w="5811"/>
      </w:tblGrid>
      <w:tr>
        <w:trPr/>
        <w:tc>
          <w:tcPr>
            <w:tcW w:w="3369"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cs="Times New Roman"/>
                <w:sz w:val="28"/>
                <w:szCs w:val="28"/>
              </w:rPr>
            </w:pPr>
            <w:r>
              <w:rPr>
                <w:rFonts w:cs="Times New Roman" w:ascii="Times New Roman" w:hAnsi="Times New Roman"/>
                <w:sz w:val="28"/>
                <w:szCs w:val="28"/>
              </w:rPr>
              <w:t>Наименование муниципальной программы</w:t>
            </w:r>
          </w:p>
        </w:tc>
        <w:tc>
          <w:tcPr>
            <w:tcW w:w="5811" w:type="dxa"/>
            <w:tcBorders>
              <w:top w:val="single" w:sz="4" w:space="0" w:color="000000"/>
              <w:left w:val="single" w:sz="4" w:space="0" w:color="000000"/>
              <w:bottom w:val="single" w:sz="4" w:space="0" w:color="000000"/>
              <w:right w:val="single" w:sz="4" w:space="0" w:color="000000"/>
            </w:tcBorders>
          </w:tcPr>
          <w:p>
            <w:pPr>
              <w:pStyle w:val="NoSpacing"/>
              <w:jc w:val="both"/>
              <w:rPr>
                <w:rFonts w:ascii="Times New Roman" w:hAnsi="Times New Roman" w:cs="Times New Roman"/>
                <w:sz w:val="28"/>
                <w:szCs w:val="28"/>
              </w:rPr>
            </w:pPr>
            <w:r>
              <w:rPr>
                <w:rFonts w:cs="Times New Roman" w:ascii="Times New Roman" w:hAnsi="Times New Roman"/>
                <w:sz w:val="28"/>
                <w:szCs w:val="28"/>
              </w:rPr>
              <w:t xml:space="preserve">Укрепление общественного здоровья на территории Топкинского муниципального округа (далее - муниципальная программа). </w:t>
            </w:r>
          </w:p>
        </w:tc>
      </w:tr>
      <w:tr>
        <w:trPr/>
        <w:tc>
          <w:tcPr>
            <w:tcW w:w="3369"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cs="Times New Roman"/>
                <w:sz w:val="28"/>
                <w:szCs w:val="28"/>
              </w:rPr>
            </w:pPr>
            <w:r>
              <w:rPr>
                <w:rFonts w:cs="Times New Roman" w:ascii="Times New Roman" w:hAnsi="Times New Roman"/>
                <w:sz w:val="28"/>
                <w:szCs w:val="28"/>
              </w:rPr>
              <w:t xml:space="preserve">Ответственный исполнитель программы </w:t>
            </w:r>
          </w:p>
        </w:tc>
        <w:tc>
          <w:tcPr>
            <w:tcW w:w="5811" w:type="dxa"/>
            <w:tcBorders>
              <w:top w:val="single" w:sz="4" w:space="0" w:color="000000"/>
              <w:left w:val="single" w:sz="4" w:space="0" w:color="000000"/>
              <w:bottom w:val="single" w:sz="4" w:space="0" w:color="000000"/>
              <w:right w:val="single" w:sz="4" w:space="0" w:color="000000"/>
            </w:tcBorders>
          </w:tcPr>
          <w:p>
            <w:pPr>
              <w:pStyle w:val="NoSpacing"/>
              <w:jc w:val="both"/>
              <w:rPr>
                <w:rFonts w:ascii="Times New Roman" w:hAnsi="Times New Roman" w:cs="Times New Roman"/>
                <w:sz w:val="28"/>
                <w:szCs w:val="28"/>
              </w:rPr>
            </w:pPr>
            <w:r>
              <w:rPr>
                <w:rFonts w:cs="Times New Roman" w:ascii="Times New Roman" w:hAnsi="Times New Roman"/>
                <w:sz w:val="28"/>
                <w:szCs w:val="28"/>
              </w:rPr>
              <w:t>Администрация Топкинского муниципального округа</w:t>
            </w:r>
          </w:p>
        </w:tc>
      </w:tr>
      <w:tr>
        <w:trPr/>
        <w:tc>
          <w:tcPr>
            <w:tcW w:w="3369"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cs="Times New Roman"/>
                <w:sz w:val="28"/>
                <w:szCs w:val="28"/>
              </w:rPr>
            </w:pPr>
            <w:r>
              <w:rPr>
                <w:rFonts w:cs="Times New Roman" w:ascii="Times New Roman" w:hAnsi="Times New Roman"/>
                <w:sz w:val="28"/>
                <w:szCs w:val="28"/>
              </w:rPr>
              <w:t>Соисполнители программы</w:t>
            </w:r>
          </w:p>
        </w:tc>
        <w:tc>
          <w:tcPr>
            <w:tcW w:w="5811" w:type="dxa"/>
            <w:tcBorders>
              <w:top w:val="single" w:sz="4" w:space="0" w:color="000000"/>
              <w:left w:val="single" w:sz="4" w:space="0" w:color="000000"/>
              <w:bottom w:val="single" w:sz="4" w:space="0" w:color="000000"/>
              <w:right w:val="single" w:sz="4" w:space="0" w:color="000000"/>
            </w:tcBorders>
          </w:tcPr>
          <w:p>
            <w:pPr>
              <w:pStyle w:val="Normal"/>
              <w:spacing w:lineRule="atLeast" w:line="200"/>
              <w:rPr>
                <w:rFonts w:ascii="PT Astra Serif" w:hAnsi="PT Astra Serif"/>
                <w:sz w:val="28"/>
                <w:szCs w:val="28"/>
              </w:rPr>
            </w:pPr>
            <w:r>
              <w:rPr>
                <w:rFonts w:ascii="PT Astra Serif" w:hAnsi="PT Astra Serif"/>
                <w:sz w:val="28"/>
                <w:szCs w:val="28"/>
              </w:rPr>
              <w:t>Управление образования администрации Топкинского муниципального округа;</w:t>
            </w:r>
          </w:p>
          <w:p>
            <w:pPr>
              <w:pStyle w:val="1"/>
              <w:shd w:fill="FFFFFF" w:val="clear"/>
              <w:jc w:val="left"/>
              <w:rPr>
                <w:rFonts w:ascii="PT Astra Serif" w:hAnsi="PT Astra Serif"/>
              </w:rPr>
            </w:pPr>
            <w:r>
              <w:rPr>
                <w:rFonts w:ascii="PT Astra Serif" w:hAnsi="PT Astra Serif"/>
                <w:b w:val="false"/>
                <w:bCs/>
                <w:color w:val="000026"/>
                <w:sz w:val="28"/>
                <w:szCs w:val="28"/>
              </w:rPr>
              <w:t>Управление культуры, спорта и молодёжной политики</w:t>
            </w:r>
            <w:r>
              <w:rPr>
                <w:rFonts w:ascii="PT Astra Serif" w:hAnsi="PT Astra Serif"/>
                <w:b w:val="false"/>
                <w:bCs/>
                <w:sz w:val="28"/>
                <w:szCs w:val="28"/>
              </w:rPr>
              <w:t xml:space="preserve"> администрации Топкинского муниципального округа;</w:t>
            </w:r>
          </w:p>
          <w:p>
            <w:pPr>
              <w:pStyle w:val="1"/>
              <w:shd w:fill="FFFFFF" w:val="clear"/>
              <w:jc w:val="left"/>
              <w:rPr>
                <w:rFonts w:ascii="PT Astra Serif" w:hAnsi="PT Astra Serif"/>
              </w:rPr>
            </w:pPr>
            <w:r>
              <w:rPr>
                <w:rFonts w:ascii="PT Astra Serif" w:hAnsi="PT Astra Serif"/>
                <w:b w:val="false"/>
                <w:bCs/>
                <w:color w:val="000026"/>
                <w:sz w:val="28"/>
                <w:szCs w:val="28"/>
              </w:rPr>
              <w:t>Комитет социальной защиты населения администрации</w:t>
            </w:r>
            <w:r>
              <w:rPr>
                <w:rFonts w:ascii="PT Astra Serif" w:hAnsi="PT Astra Serif"/>
                <w:b w:val="false"/>
                <w:bCs/>
                <w:sz w:val="28"/>
                <w:szCs w:val="28"/>
              </w:rPr>
              <w:t xml:space="preserve"> Топкинского муниципального округа;</w:t>
            </w:r>
          </w:p>
          <w:p>
            <w:pPr>
              <w:pStyle w:val="Normal"/>
              <w:rPr>
                <w:rFonts w:ascii="PT Astra Serif" w:hAnsi="PT Astra Serif"/>
              </w:rPr>
            </w:pPr>
            <w:r>
              <w:rPr>
                <w:rFonts w:ascii="PT Astra Serif" w:hAnsi="PT Astra Serif"/>
                <w:sz w:val="28"/>
                <w:szCs w:val="28"/>
              </w:rPr>
              <w:t>ГАУЗ ККГВВ Топкинский филиал</w:t>
            </w:r>
            <w:r>
              <w:rPr>
                <w:rFonts w:ascii="PT Astra Serif" w:hAnsi="PT Astra Serif"/>
              </w:rPr>
              <w:t xml:space="preserve"> </w:t>
            </w:r>
            <w:r>
              <w:rPr>
                <w:rFonts w:ascii="PT Astra Serif" w:hAnsi="PT Astra Serif"/>
                <w:sz w:val="28"/>
                <w:szCs w:val="28"/>
              </w:rPr>
              <w:t>(по согласованию)</w:t>
            </w:r>
          </w:p>
          <w:p>
            <w:pPr>
              <w:pStyle w:val="Normal"/>
              <w:rPr>
                <w:rFonts w:ascii="PT Astra Serif" w:hAnsi="PT Astra Serif"/>
                <w:sz w:val="28"/>
                <w:szCs w:val="28"/>
              </w:rPr>
            </w:pPr>
            <w:r>
              <w:rPr>
                <w:rFonts w:ascii="PT Astra Serif" w:hAnsi="PT Astra Serif"/>
                <w:sz w:val="28"/>
                <w:szCs w:val="28"/>
              </w:rPr>
              <w:t>ГБУЗ «Кузбасский центр общественного здоровья и медицинской профилактики» (по согласованию)</w:t>
            </w:r>
          </w:p>
          <w:p>
            <w:pPr>
              <w:pStyle w:val="Normal"/>
              <w:rPr>
                <w:rFonts w:ascii="PT Astra Serif" w:hAnsi="PT Astra Serif"/>
              </w:rPr>
            </w:pPr>
            <w:r>
              <w:rPr>
                <w:rFonts w:ascii="PT Astra Serif" w:hAnsi="PT Astra Serif"/>
                <w:sz w:val="28"/>
                <w:szCs w:val="28"/>
              </w:rPr>
              <w:t>Волонтеры (НКО «</w:t>
            </w:r>
            <w:r>
              <w:rPr>
                <w:rFonts w:ascii="PT Astra Serif" w:hAnsi="PT Astra Serif"/>
                <w:color w:val="2C2D2E"/>
                <w:sz w:val="28"/>
                <w:szCs w:val="28"/>
                <w:shd w:fill="FFFFFF" w:val="clear"/>
              </w:rPr>
              <w:t>Местная общественная организация Топкинского муниципального округа Всероссийской общественной организации ветеранов (пенсионеров) войны, труда, вооруженных сил и правоохранительных органов</w:t>
            </w:r>
            <w:r>
              <w:rPr>
                <w:rFonts w:ascii="PT Astra Serif" w:hAnsi="PT Astra Serif"/>
                <w:sz w:val="28"/>
                <w:szCs w:val="28"/>
              </w:rPr>
              <w:t>», Совет молодежного самоуправления УКСиМП)</w:t>
            </w:r>
          </w:p>
          <w:p>
            <w:pPr>
              <w:pStyle w:val="Normal"/>
              <w:spacing w:lineRule="atLeast" w:line="200"/>
              <w:rPr>
                <w:rFonts w:ascii="PT Astra Serif" w:hAnsi="PT Astra Serif"/>
                <w:sz w:val="28"/>
                <w:szCs w:val="28"/>
              </w:rPr>
            </w:pPr>
            <w:r>
              <w:rPr>
                <w:rFonts w:ascii="PT Astra Serif" w:hAnsi="PT Astra Serif"/>
                <w:sz w:val="28"/>
                <w:szCs w:val="28"/>
              </w:rPr>
            </w:r>
          </w:p>
        </w:tc>
      </w:tr>
      <w:tr>
        <w:trPr/>
        <w:tc>
          <w:tcPr>
            <w:tcW w:w="3369"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cs="Times New Roman"/>
                <w:sz w:val="28"/>
                <w:szCs w:val="28"/>
              </w:rPr>
            </w:pPr>
            <w:r>
              <w:rPr>
                <w:rFonts w:cs="Times New Roman" w:ascii="Times New Roman" w:hAnsi="Times New Roman"/>
                <w:sz w:val="28"/>
                <w:szCs w:val="28"/>
              </w:rPr>
              <w:t>Актуальность программы</w:t>
            </w:r>
          </w:p>
        </w:tc>
        <w:tc>
          <w:tcPr>
            <w:tcW w:w="5811" w:type="dxa"/>
            <w:tcBorders>
              <w:top w:val="single" w:sz="4" w:space="0" w:color="000000"/>
              <w:left w:val="single" w:sz="4" w:space="0" w:color="000000"/>
              <w:bottom w:val="single" w:sz="4" w:space="0" w:color="000000"/>
              <w:right w:val="single" w:sz="4" w:space="0" w:color="000000"/>
            </w:tcBorders>
          </w:tcPr>
          <w:p>
            <w:pPr>
              <w:pStyle w:val="Normal"/>
              <w:numPr>
                <w:ilvl w:val="0"/>
                <w:numId w:val="0"/>
              </w:numPr>
              <w:ind w:firstLine="28"/>
              <w:jc w:val="both"/>
              <w:outlineLvl w:val="1"/>
              <w:rPr>
                <w:rFonts w:ascii="PT Astra Serif" w:hAnsi="PT Astra Serif"/>
              </w:rPr>
            </w:pPr>
            <w:r>
              <w:rPr>
                <w:rFonts w:ascii="PT Astra Serif" w:hAnsi="PT Astra Serif"/>
                <w:sz w:val="28"/>
                <w:szCs w:val="28"/>
              </w:rPr>
              <w:t xml:space="preserve">Муниципальная программа разработана с учетом </w:t>
            </w:r>
            <w:bookmarkStart w:id="2" w:name="__DdeLink__168_2730579435"/>
            <w:r>
              <w:rPr>
                <w:rFonts w:ascii="PT Astra Serif" w:hAnsi="PT Astra Serif"/>
                <w:sz w:val="28"/>
                <w:szCs w:val="28"/>
              </w:rPr>
              <w:t xml:space="preserve">Указа Президента Российской Федерации от 07.05.2018 № 204 «О национальных целях и стратегических задачах </w:t>
            </w:r>
            <w:r>
              <w:rPr>
                <w:rFonts w:ascii="PT Astra Serif" w:hAnsi="PT Astra Serif"/>
                <w:b w:val="false"/>
                <w:bCs w:val="false"/>
                <w:sz w:val="28"/>
                <w:szCs w:val="28"/>
              </w:rPr>
              <w:t>развития Российской Федерации на период до 2024 года»</w:t>
            </w:r>
            <w:bookmarkEnd w:id="2"/>
            <w:r>
              <w:rPr>
                <w:rFonts w:ascii="PT Astra Serif" w:hAnsi="PT Astra Serif"/>
                <w:b w:val="false"/>
                <w:bCs w:val="false"/>
                <w:sz w:val="28"/>
                <w:szCs w:val="28"/>
              </w:rPr>
              <w:t xml:space="preserve"> и </w:t>
            </w:r>
            <w:r>
              <w:rPr>
                <w:rFonts w:eastAsia="+mj-ea" w:ascii="PT Astra Serif" w:hAnsi="PT Astra Serif"/>
                <w:b w:val="false"/>
                <w:bCs w:val="false"/>
                <w:shadow/>
                <w:kern w:val="2"/>
                <w:sz w:val="28"/>
                <w:szCs w:val="28"/>
              </w:rPr>
              <w:t>Указа Президента Российской Федерации от 07.05.2024 № 309 «О национальных целях развития Российской Федерации на период до 2030 года и на перспективу до 2036 года»</w:t>
            </w:r>
            <w:r>
              <w:rPr>
                <w:rFonts w:ascii="PT Astra Serif" w:hAnsi="PT Astra Serif"/>
                <w:b w:val="false"/>
                <w:bCs w:val="false"/>
                <w:sz w:val="28"/>
                <w:szCs w:val="28"/>
              </w:rPr>
              <w:t>,</w:t>
            </w:r>
            <w:r>
              <w:rPr>
                <w:rFonts w:ascii="PT Astra Serif" w:hAnsi="PT Astra Serif"/>
                <w:b w:val="false"/>
                <w:bCs w:val="false"/>
                <w:sz w:val="26"/>
                <w:szCs w:val="26"/>
              </w:rPr>
              <w:t xml:space="preserve"> </w:t>
            </w:r>
            <w:r>
              <w:rPr>
                <w:rFonts w:ascii="PT Astra Serif" w:hAnsi="PT Astra Serif"/>
                <w:b w:val="false"/>
                <w:bCs w:val="false"/>
                <w:sz w:val="28"/>
                <w:szCs w:val="28"/>
              </w:rPr>
              <w:t xml:space="preserve"> которыми предусмотрена реализация национальных проектов, в том числе национального проекта «Демография».</w:t>
            </w:r>
            <w:bookmarkStart w:id="3" w:name="__DdeLink__170_2730579435"/>
            <w:bookmarkEnd w:id="3"/>
          </w:p>
          <w:p>
            <w:pPr>
              <w:pStyle w:val="Style28"/>
              <w:spacing w:lineRule="auto" w:line="240" w:before="0" w:after="0"/>
              <w:ind w:left="0" w:right="0" w:firstLine="28"/>
              <w:contextualSpacing/>
              <w:jc w:val="both"/>
              <w:rPr>
                <w:rFonts w:ascii="PT Astra Serif" w:hAnsi="PT Astra Serif"/>
                <w:sz w:val="28"/>
                <w:szCs w:val="28"/>
              </w:rPr>
            </w:pPr>
            <w:r>
              <w:rPr>
                <w:rFonts w:ascii="PT Astra Serif" w:hAnsi="PT Astra Serif"/>
                <w:sz w:val="28"/>
                <w:szCs w:val="28"/>
              </w:rPr>
              <w:t>В национальный проект «Демография» входит федеральный проект «Формирование системы мотивации граждан к здоровому образу жизни, включая здоровое питание и отказ от вредных привычек» (ФП «Укрепление общественного здоровья»), который включает в себя показатель «Наличие муниципальной программы по укреплению общественного здоровья» в муниципальном образовании, что предусмотрено реализацией настоящей муниципальной программы.</w:t>
            </w:r>
          </w:p>
        </w:tc>
      </w:tr>
      <w:tr>
        <w:trPr/>
        <w:tc>
          <w:tcPr>
            <w:tcW w:w="3369"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cs="Times New Roman"/>
                <w:sz w:val="28"/>
                <w:szCs w:val="28"/>
              </w:rPr>
            </w:pPr>
            <w:r>
              <w:rPr>
                <w:rFonts w:cs="Times New Roman" w:ascii="Times New Roman" w:hAnsi="Times New Roman"/>
                <w:sz w:val="28"/>
                <w:szCs w:val="28"/>
              </w:rPr>
              <w:t>Перечень основных мероприятий муниципальной программы</w:t>
            </w:r>
          </w:p>
        </w:tc>
        <w:tc>
          <w:tcPr>
            <w:tcW w:w="5811" w:type="dxa"/>
            <w:tcBorders>
              <w:top w:val="single" w:sz="4" w:space="0" w:color="000000"/>
              <w:left w:val="single" w:sz="4" w:space="0" w:color="000000"/>
              <w:bottom w:val="single" w:sz="4" w:space="0" w:color="000000"/>
              <w:right w:val="single" w:sz="4" w:space="0" w:color="000000"/>
            </w:tcBorders>
          </w:tcPr>
          <w:p>
            <w:pPr>
              <w:pStyle w:val="Normal"/>
              <w:jc w:val="both"/>
              <w:rPr>
                <w:sz w:val="28"/>
                <w:szCs w:val="28"/>
              </w:rPr>
            </w:pPr>
            <w:r>
              <w:rPr>
                <w:sz w:val="28"/>
                <w:szCs w:val="28"/>
              </w:rPr>
              <w:t>- проведение групповых и массовых мероприятий (акции, фестивали, спартакиады и др.) среди населения, направленных на пропаганду здорового образа жизни, включая здоровое питание (в том числе ликвидацию микронутриентной недостаточности, сокращение потребления соли и сахара), защиту от табачного дыма, снижение потребления алкоголя и наркотиков, снижения влияния психосоциальных факторов, сохранение репродуктивного и стоматологического здоровья;</w:t>
            </w:r>
          </w:p>
          <w:p>
            <w:pPr>
              <w:pStyle w:val="Normal"/>
              <w:jc w:val="both"/>
              <w:rPr>
                <w:sz w:val="28"/>
                <w:szCs w:val="28"/>
              </w:rPr>
            </w:pPr>
            <w:r>
              <w:rPr>
                <w:sz w:val="28"/>
                <w:szCs w:val="28"/>
              </w:rPr>
              <w:t>- систематическое освещение вопросов, касающихся здорового образа жизни, преодоление вредных привычек (курение и алкоголь), а также антинаркотическая пропаганда в средствах массовой информации и сети «Интернет»;</w:t>
            </w:r>
          </w:p>
          <w:p>
            <w:pPr>
              <w:pStyle w:val="Normal"/>
              <w:jc w:val="both"/>
              <w:rPr>
                <w:sz w:val="28"/>
                <w:szCs w:val="28"/>
              </w:rPr>
            </w:pPr>
            <w:r>
              <w:rPr>
                <w:sz w:val="28"/>
                <w:szCs w:val="28"/>
              </w:rPr>
              <w:t>- информационное сопровождение проводимых мероприятий посредством их освещения в информационно-телекоммуникационной сети «Интернет»;</w:t>
            </w:r>
          </w:p>
          <w:p>
            <w:pPr>
              <w:pStyle w:val="Normal"/>
              <w:jc w:val="both"/>
              <w:rPr>
                <w:sz w:val="28"/>
                <w:szCs w:val="28"/>
              </w:rPr>
            </w:pPr>
            <w:r>
              <w:rPr>
                <w:sz w:val="28"/>
                <w:szCs w:val="28"/>
              </w:rPr>
              <w:t>- организация и проведение летней оздоровительной кампании;</w:t>
            </w:r>
          </w:p>
          <w:p>
            <w:pPr>
              <w:pStyle w:val="Normal"/>
              <w:jc w:val="both"/>
              <w:rPr>
                <w:sz w:val="28"/>
                <w:szCs w:val="28"/>
              </w:rPr>
            </w:pPr>
            <w:r>
              <w:rPr>
                <w:sz w:val="28"/>
                <w:szCs w:val="28"/>
              </w:rPr>
              <w:t>- увеличение охвата населения Топкинского муниципального округа диспансеризацией и профилактическими осмотрами, вакцинацией;</w:t>
            </w:r>
          </w:p>
          <w:p>
            <w:pPr>
              <w:pStyle w:val="Normal"/>
              <w:jc w:val="both"/>
              <w:rPr>
                <w:sz w:val="28"/>
                <w:szCs w:val="28"/>
              </w:rPr>
            </w:pPr>
            <w:r>
              <w:rPr>
                <w:sz w:val="28"/>
                <w:szCs w:val="28"/>
              </w:rPr>
              <w:t>- предупреждение и пресечение фактов курения табака (выявление правонарушений, связанных с курением) на территориях образовательных учреждений, учреждений культуры, объектов спорта, транспортной инфраструктуры, медицинских учреждений и иных объектов;</w:t>
            </w:r>
          </w:p>
          <w:p>
            <w:pPr>
              <w:pStyle w:val="Normal"/>
              <w:jc w:val="both"/>
              <w:rPr>
                <w:sz w:val="28"/>
                <w:szCs w:val="28"/>
              </w:rPr>
            </w:pPr>
            <w:r>
              <w:rPr>
                <w:sz w:val="28"/>
                <w:szCs w:val="28"/>
              </w:rPr>
              <w:t>- организация и проведение комплексных профилактических мероприятий, связанных с  незаконным распространением алкоголя, в том числе суррогатного,  на территории  Топкинского муниципального округа, предупреждение и пресечение фактов распития алкоголя в общественных местах, не предназначенных для его употребления;</w:t>
            </w:r>
          </w:p>
          <w:p>
            <w:pPr>
              <w:pStyle w:val="Normal"/>
              <w:jc w:val="both"/>
              <w:rPr>
                <w:sz w:val="28"/>
                <w:szCs w:val="28"/>
              </w:rPr>
            </w:pPr>
            <w:r>
              <w:rPr>
                <w:sz w:val="28"/>
                <w:szCs w:val="28"/>
              </w:rPr>
              <w:t>- осуществление контроля за ограничением торговли табачной продукцией и алкоголем;</w:t>
            </w:r>
          </w:p>
          <w:p>
            <w:pPr>
              <w:pStyle w:val="Normal"/>
              <w:jc w:val="both"/>
              <w:rPr>
                <w:sz w:val="28"/>
                <w:szCs w:val="28"/>
              </w:rPr>
            </w:pPr>
            <w:r>
              <w:rPr>
                <w:sz w:val="28"/>
                <w:szCs w:val="28"/>
              </w:rPr>
              <w:t>- проведение муниципальных мероприятий по позиционированию семейного отдыха;</w:t>
            </w:r>
          </w:p>
          <w:p>
            <w:pPr>
              <w:pStyle w:val="Normal"/>
              <w:jc w:val="both"/>
              <w:rPr>
                <w:sz w:val="28"/>
                <w:szCs w:val="28"/>
              </w:rPr>
            </w:pPr>
            <w:r>
              <w:rPr>
                <w:sz w:val="28"/>
                <w:szCs w:val="28"/>
              </w:rPr>
              <w:t>- мониторинг факторов риска развития заболеваний;</w:t>
            </w:r>
          </w:p>
          <w:p>
            <w:pPr>
              <w:pStyle w:val="Normal"/>
              <w:jc w:val="both"/>
              <w:rPr/>
            </w:pPr>
            <w:r>
              <w:rPr>
                <w:sz w:val="28"/>
                <w:szCs w:val="28"/>
              </w:rPr>
              <w:t xml:space="preserve">- </w:t>
            </w:r>
            <w:r>
              <w:rPr>
                <w:color w:val="000000"/>
                <w:sz w:val="28"/>
                <w:szCs w:val="28"/>
                <w:lang w:eastAsia="ru-RU"/>
              </w:rPr>
              <w:t>создание среды, способствующей ведению здорового образа жизни населением (установка нового игрового и спортивного оборудования, спортивных площадок, обустройство парков и скверов, капитальный ремонт улиц города с оборудованием пешеходной зоны и велодорожек);</w:t>
            </w:r>
          </w:p>
          <w:p>
            <w:pPr>
              <w:pStyle w:val="Normal"/>
              <w:jc w:val="both"/>
              <w:rPr>
                <w:color w:val="000000"/>
                <w:sz w:val="28"/>
                <w:szCs w:val="28"/>
                <w:lang w:eastAsia="en-US"/>
              </w:rPr>
            </w:pPr>
            <w:r>
              <w:rPr>
                <w:color w:val="000000"/>
                <w:sz w:val="28"/>
                <w:szCs w:val="28"/>
                <w:lang w:eastAsia="en-US"/>
              </w:rPr>
              <w:t>- проведение экологических мероприятий, направленных на улучшение экологической обстановки.</w:t>
            </w:r>
          </w:p>
        </w:tc>
      </w:tr>
      <w:tr>
        <w:trPr/>
        <w:tc>
          <w:tcPr>
            <w:tcW w:w="3369"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cs="Times New Roman"/>
                <w:sz w:val="28"/>
                <w:szCs w:val="28"/>
              </w:rPr>
            </w:pPr>
            <w:r>
              <w:rPr>
                <w:rFonts w:cs="Times New Roman" w:ascii="Times New Roman" w:hAnsi="Times New Roman"/>
                <w:sz w:val="28"/>
                <w:szCs w:val="28"/>
              </w:rPr>
              <w:t xml:space="preserve">Цель муниципальной </w:t>
            </w:r>
          </w:p>
          <w:p>
            <w:pPr>
              <w:pStyle w:val="NoSpacing"/>
              <w:rPr>
                <w:rFonts w:ascii="Times New Roman" w:hAnsi="Times New Roman" w:cs="Times New Roman"/>
                <w:sz w:val="28"/>
                <w:szCs w:val="28"/>
              </w:rPr>
            </w:pPr>
            <w:r>
              <w:rPr>
                <w:rFonts w:cs="Times New Roman" w:ascii="Times New Roman" w:hAnsi="Times New Roman"/>
                <w:sz w:val="28"/>
                <w:szCs w:val="28"/>
              </w:rPr>
              <w:t>программы</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8"/>
                <w:szCs w:val="28"/>
                <w:lang w:eastAsia="ar-SA"/>
              </w:rPr>
            </w:pPr>
            <w:r>
              <w:rPr>
                <w:kern w:val="2"/>
                <w:sz w:val="28"/>
                <w:szCs w:val="28"/>
                <w:lang w:eastAsia="ar-SA"/>
              </w:rPr>
              <w:t>Обеспечение к 2028 году увеличения доли граждан, ведущих здоровый образ жизни за счет формирования среды, способствующей ведению гражданами здорового образа жизни, включая здоровое питание, защиту от табачного дыма, снижение потребления алкоголя, мотивирования граждан к ведению здорового образа жизни посредством информационно-коммуникационной кампании, а также вовлечения граждан в мероприятия по укреплению общественного здоровья, улучшение качества жизни, сохранение репродуктивного и стоматологического  здоровья населения Топкинского муниципального округа за счет осуществления комплекса профилактических  мероприятий.</w:t>
            </w:r>
          </w:p>
          <w:p>
            <w:pPr>
              <w:pStyle w:val="Normal"/>
              <w:widowControl w:val="false"/>
              <w:jc w:val="both"/>
              <w:rPr>
                <w:kern w:val="2"/>
                <w:sz w:val="28"/>
                <w:szCs w:val="28"/>
                <w:lang w:eastAsia="ar-SA"/>
              </w:rPr>
            </w:pPr>
            <w:r>
              <w:rPr>
                <w:kern w:val="2"/>
                <w:sz w:val="28"/>
                <w:szCs w:val="28"/>
                <w:lang w:eastAsia="ar-SA"/>
              </w:rPr>
            </w:r>
          </w:p>
        </w:tc>
      </w:tr>
      <w:tr>
        <w:trPr/>
        <w:tc>
          <w:tcPr>
            <w:tcW w:w="3369"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cs="Times New Roman"/>
                <w:sz w:val="28"/>
                <w:szCs w:val="28"/>
              </w:rPr>
            </w:pPr>
            <w:r>
              <w:rPr>
                <w:rFonts w:cs="Times New Roman" w:ascii="Times New Roman" w:hAnsi="Times New Roman"/>
                <w:sz w:val="28"/>
                <w:szCs w:val="28"/>
              </w:rPr>
              <w:t>Задачи муниципальной программы</w:t>
            </w:r>
          </w:p>
        </w:tc>
        <w:tc>
          <w:tcPr>
            <w:tcW w:w="5811" w:type="dxa"/>
            <w:tcBorders>
              <w:top w:val="single" w:sz="4" w:space="0" w:color="000000"/>
              <w:left w:val="single" w:sz="4" w:space="0" w:color="000000"/>
              <w:bottom w:val="single" w:sz="4" w:space="0" w:color="000000"/>
              <w:right w:val="single" w:sz="4" w:space="0" w:color="000000"/>
            </w:tcBorders>
          </w:tcPr>
          <w:p>
            <w:pPr>
              <w:pStyle w:val="Style28"/>
              <w:suppressAutoHyphens w:val="false"/>
              <w:spacing w:lineRule="atLeast" w:line="200" w:before="0" w:after="0"/>
              <w:ind w:left="0" w:right="0" w:hanging="0"/>
              <w:contextualSpacing/>
              <w:jc w:val="both"/>
              <w:rPr>
                <w:sz w:val="28"/>
                <w:szCs w:val="28"/>
              </w:rPr>
            </w:pPr>
            <w:r>
              <w:rPr>
                <w:sz w:val="28"/>
                <w:szCs w:val="28"/>
              </w:rPr>
              <w:t>- Мотивирование граждан к ведению здорового образа жизни посредством проведения информационно-коммуникационной кампании, а также вовлечения граждан и общественных организаций в мероприятия по укреплению общественного здоровья;</w:t>
            </w:r>
          </w:p>
          <w:p>
            <w:pPr>
              <w:pStyle w:val="Style28"/>
              <w:suppressAutoHyphens w:val="false"/>
              <w:spacing w:lineRule="atLeast" w:line="200" w:before="0" w:after="0"/>
              <w:ind w:left="0" w:right="0" w:hanging="0"/>
              <w:contextualSpacing/>
              <w:jc w:val="both"/>
              <w:rPr>
                <w:color w:val="000000"/>
                <w:sz w:val="28"/>
                <w:szCs w:val="28"/>
              </w:rPr>
            </w:pPr>
            <w:r>
              <w:rPr>
                <w:color w:val="000000"/>
                <w:sz w:val="28"/>
                <w:szCs w:val="28"/>
              </w:rPr>
              <w:t>- Мотивирование граждан к ведению здорового образа жизни посредством внедрения программ укрепления здоровья на рабочем месте (корпоративные программы укрепления здоровья);</w:t>
            </w:r>
          </w:p>
          <w:p>
            <w:pPr>
              <w:pStyle w:val="Style28"/>
              <w:suppressAutoHyphens w:val="false"/>
              <w:spacing w:lineRule="atLeast" w:line="200" w:before="0" w:after="0"/>
              <w:ind w:left="0" w:right="0" w:hanging="0"/>
              <w:contextualSpacing/>
              <w:jc w:val="both"/>
              <w:rPr>
                <w:sz w:val="28"/>
                <w:szCs w:val="28"/>
              </w:rPr>
            </w:pPr>
            <w:r>
              <w:rPr>
                <w:sz w:val="28"/>
                <w:szCs w:val="28"/>
              </w:rPr>
              <w:t>- Формирование системы мотивации граждан к здоровому образу жизни, включая здоровое питание, отказ от вредных привычек и наркотиков;</w:t>
            </w:r>
          </w:p>
          <w:p>
            <w:pPr>
              <w:pStyle w:val="Style28"/>
              <w:suppressAutoHyphens w:val="false"/>
              <w:spacing w:lineRule="atLeast" w:line="200" w:before="0" w:after="0"/>
              <w:ind w:left="0" w:right="0" w:hanging="0"/>
              <w:contextualSpacing/>
              <w:jc w:val="both"/>
              <w:rPr>
                <w:sz w:val="28"/>
                <w:szCs w:val="28"/>
              </w:rPr>
            </w:pPr>
            <w:r>
              <w:rPr>
                <w:sz w:val="28"/>
                <w:szCs w:val="28"/>
              </w:rPr>
              <w:t>- Противодействие распространению потребления табака и алкоголя;</w:t>
            </w:r>
          </w:p>
          <w:p>
            <w:pPr>
              <w:pStyle w:val="Style28"/>
              <w:suppressAutoHyphens w:val="false"/>
              <w:spacing w:lineRule="atLeast" w:line="200" w:before="0" w:after="0"/>
              <w:ind w:left="0" w:right="0" w:hanging="0"/>
              <w:contextualSpacing/>
              <w:jc w:val="both"/>
              <w:rPr>
                <w:sz w:val="28"/>
                <w:szCs w:val="28"/>
              </w:rPr>
            </w:pPr>
            <w:r>
              <w:rPr>
                <w:sz w:val="28"/>
                <w:szCs w:val="28"/>
              </w:rPr>
              <w:t>- Сохранение стоматологического и репродуктивного здоровья населения   за счет осуществления комплекса профилактических мероприятий;</w:t>
            </w:r>
          </w:p>
          <w:p>
            <w:pPr>
              <w:pStyle w:val="Style28"/>
              <w:suppressAutoHyphens w:val="false"/>
              <w:spacing w:lineRule="atLeast" w:line="200" w:before="0" w:after="0"/>
              <w:ind w:left="0" w:right="0" w:hanging="0"/>
              <w:contextualSpacing/>
              <w:jc w:val="both"/>
              <w:rPr/>
            </w:pPr>
            <w:r>
              <w:rPr>
                <w:color w:val="000000"/>
                <w:sz w:val="28"/>
                <w:szCs w:val="28"/>
              </w:rPr>
              <w:t xml:space="preserve">- Проведение мероприятий, стимулирующих прохождение населением диспансеризации, </w:t>
            </w:r>
            <w:r>
              <w:rPr>
                <w:sz w:val="28"/>
                <w:szCs w:val="28"/>
              </w:rPr>
              <w:t>профилактических осмотров, вакцинации;</w:t>
            </w:r>
          </w:p>
          <w:p>
            <w:pPr>
              <w:pStyle w:val="Style28"/>
              <w:suppressAutoHyphens w:val="false"/>
              <w:spacing w:lineRule="atLeast" w:line="200" w:before="0" w:after="0"/>
              <w:ind w:left="0" w:right="0" w:hanging="0"/>
              <w:contextualSpacing/>
              <w:jc w:val="both"/>
              <w:rPr>
                <w:color w:val="000000"/>
                <w:sz w:val="28"/>
                <w:szCs w:val="28"/>
                <w:lang w:eastAsia="ru-RU"/>
              </w:rPr>
            </w:pPr>
            <w:r>
              <w:rPr>
                <w:color w:val="000000"/>
                <w:sz w:val="28"/>
                <w:szCs w:val="28"/>
                <w:lang w:eastAsia="ru-RU"/>
              </w:rPr>
              <w:t>- Создание среды, способствующей ведению здорового образа жизни населением (планировочные решения, спортивные площадки, парки и др.);</w:t>
            </w:r>
          </w:p>
          <w:p>
            <w:pPr>
              <w:pStyle w:val="Style28"/>
              <w:suppressAutoHyphens w:val="false"/>
              <w:spacing w:lineRule="atLeast" w:line="200" w:before="0" w:after="0"/>
              <w:ind w:left="0" w:right="0" w:hanging="0"/>
              <w:contextualSpacing/>
              <w:jc w:val="both"/>
              <w:rPr>
                <w:color w:val="000000"/>
                <w:sz w:val="28"/>
                <w:szCs w:val="28"/>
              </w:rPr>
            </w:pPr>
            <w:r>
              <w:rPr>
                <w:color w:val="000000"/>
                <w:sz w:val="28"/>
                <w:szCs w:val="28"/>
              </w:rPr>
              <w:t>- Проведение экологических мероприятий, направленных на улучшение экологической обстановки;</w:t>
            </w:r>
          </w:p>
          <w:p>
            <w:pPr>
              <w:pStyle w:val="Style28"/>
              <w:suppressAutoHyphens w:val="false"/>
              <w:spacing w:lineRule="atLeast" w:line="200" w:before="0" w:after="0"/>
              <w:ind w:left="0" w:right="0" w:hanging="0"/>
              <w:contextualSpacing/>
              <w:jc w:val="both"/>
              <w:rPr>
                <w:color w:val="000000"/>
                <w:sz w:val="28"/>
                <w:szCs w:val="28"/>
              </w:rPr>
            </w:pPr>
            <w:r>
              <w:rPr>
                <w:color w:val="000000"/>
                <w:sz w:val="28"/>
                <w:szCs w:val="28"/>
              </w:rPr>
              <w:t>- Мониторинг факторов риска неинфекционных заболеваний.</w:t>
            </w:r>
          </w:p>
        </w:tc>
      </w:tr>
      <w:tr>
        <w:trPr/>
        <w:tc>
          <w:tcPr>
            <w:tcW w:w="3369"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cs="Times New Roman"/>
                <w:sz w:val="28"/>
                <w:szCs w:val="28"/>
              </w:rPr>
            </w:pPr>
            <w:r>
              <w:rPr>
                <w:rFonts w:cs="Times New Roman" w:ascii="Times New Roman" w:hAnsi="Times New Roman"/>
                <w:sz w:val="28"/>
                <w:szCs w:val="28"/>
              </w:rPr>
              <w:t>Целевые индикаторы и показатели муниципальной программы</w:t>
            </w:r>
          </w:p>
        </w:tc>
        <w:tc>
          <w:tcPr>
            <w:tcW w:w="5811" w:type="dxa"/>
            <w:tcBorders>
              <w:top w:val="single" w:sz="4" w:space="0" w:color="000000"/>
              <w:left w:val="single" w:sz="4" w:space="0" w:color="000000"/>
              <w:bottom w:val="single" w:sz="4" w:space="0" w:color="000000"/>
              <w:right w:val="single" w:sz="4" w:space="0" w:color="000000"/>
            </w:tcBorders>
            <w:vAlign w:val="center"/>
          </w:tcPr>
          <w:p>
            <w:pPr>
              <w:pStyle w:val="Normal"/>
              <w:jc w:val="both"/>
              <w:rPr>
                <w:sz w:val="28"/>
                <w:szCs w:val="28"/>
              </w:rPr>
            </w:pPr>
            <w:r>
              <w:rPr>
                <w:sz w:val="28"/>
                <w:szCs w:val="28"/>
              </w:rPr>
              <w:t>К 2028 году планируется достижение следующих значений:</w:t>
            </w:r>
          </w:p>
          <w:p>
            <w:pPr>
              <w:pStyle w:val="Normal"/>
              <w:jc w:val="both"/>
              <w:rPr>
                <w:sz w:val="28"/>
                <w:szCs w:val="28"/>
              </w:rPr>
            </w:pPr>
            <w:r>
              <w:rPr>
                <w:sz w:val="28"/>
                <w:szCs w:val="28"/>
              </w:rPr>
              <w:t xml:space="preserve">- ежегодный охват мероприятиями по укреплению общественного здоровья среди населения не менее 30 % ;    </w:t>
            </w:r>
          </w:p>
          <w:p>
            <w:pPr>
              <w:pStyle w:val="Normal"/>
              <w:jc w:val="both"/>
              <w:rPr>
                <w:sz w:val="28"/>
                <w:szCs w:val="28"/>
              </w:rPr>
            </w:pPr>
            <w:r>
              <w:rPr>
                <w:sz w:val="28"/>
                <w:szCs w:val="28"/>
              </w:rPr>
              <w:t xml:space="preserve">- внедрение не менее 1 корпоративной программы, содержащих наилучшие практики по укреплению здоровья на рабочем месте; </w:t>
            </w:r>
          </w:p>
          <w:p>
            <w:pPr>
              <w:pStyle w:val="Normal"/>
              <w:jc w:val="both"/>
              <w:rPr>
                <w:sz w:val="28"/>
                <w:szCs w:val="28"/>
              </w:rPr>
            </w:pPr>
            <w:r>
              <w:rPr>
                <w:sz w:val="28"/>
                <w:szCs w:val="28"/>
              </w:rPr>
              <w:t>- доля граждан, систематически занимающихся физической культурой и спортом – 70 %.</w:t>
            </w:r>
          </w:p>
        </w:tc>
      </w:tr>
      <w:tr>
        <w:trPr/>
        <w:tc>
          <w:tcPr>
            <w:tcW w:w="3369"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cs="Times New Roman"/>
                <w:sz w:val="28"/>
                <w:szCs w:val="28"/>
              </w:rPr>
            </w:pPr>
            <w:r>
              <w:rPr>
                <w:rFonts w:cs="Times New Roman" w:ascii="Times New Roman" w:hAnsi="Times New Roman"/>
                <w:sz w:val="28"/>
                <w:szCs w:val="28"/>
              </w:rPr>
              <w:t>Этапы и сроки реализации муниципальной программы</w:t>
            </w:r>
          </w:p>
        </w:tc>
        <w:tc>
          <w:tcPr>
            <w:tcW w:w="5811" w:type="dxa"/>
            <w:tcBorders>
              <w:top w:val="single" w:sz="4" w:space="0" w:color="000000"/>
              <w:left w:val="single" w:sz="4" w:space="0" w:color="000000"/>
              <w:bottom w:val="single" w:sz="4" w:space="0" w:color="000000"/>
              <w:right w:val="single" w:sz="4" w:space="0" w:color="000000"/>
            </w:tcBorders>
          </w:tcPr>
          <w:p>
            <w:pPr>
              <w:pStyle w:val="NoSpacing"/>
              <w:jc w:val="both"/>
              <w:rPr>
                <w:rFonts w:ascii="Times New Roman" w:hAnsi="Times New Roman" w:cs="Times New Roman"/>
                <w:sz w:val="28"/>
                <w:szCs w:val="28"/>
              </w:rPr>
            </w:pPr>
            <w:r>
              <w:rPr>
                <w:rFonts w:cs="Times New Roman" w:ascii="Times New Roman" w:hAnsi="Times New Roman"/>
                <w:sz w:val="28"/>
                <w:szCs w:val="28"/>
              </w:rPr>
              <w:t>2025-2028 годы</w:t>
            </w:r>
          </w:p>
        </w:tc>
      </w:tr>
      <w:tr>
        <w:trPr/>
        <w:tc>
          <w:tcPr>
            <w:tcW w:w="3369" w:type="dxa"/>
            <w:tcBorders>
              <w:top w:val="single" w:sz="4" w:space="0" w:color="000000"/>
              <w:left w:val="single" w:sz="4" w:space="0" w:color="000000"/>
              <w:bottom w:val="single" w:sz="4" w:space="0" w:color="000000"/>
              <w:right w:val="single" w:sz="4" w:space="0" w:color="000000"/>
            </w:tcBorders>
          </w:tcPr>
          <w:p>
            <w:pPr>
              <w:pStyle w:val="Normal"/>
              <w:shd w:fill="FFFFFF" w:val="clear"/>
              <w:rPr>
                <w:sz w:val="28"/>
                <w:szCs w:val="28"/>
              </w:rPr>
            </w:pPr>
            <w:r>
              <w:rPr>
                <w:sz w:val="28"/>
                <w:szCs w:val="28"/>
              </w:rPr>
              <w:t>Объемы</w:t>
            </w:r>
          </w:p>
          <w:p>
            <w:pPr>
              <w:pStyle w:val="Normal"/>
              <w:shd w:fill="FFFFFF" w:val="clear"/>
              <w:rPr>
                <w:sz w:val="28"/>
                <w:szCs w:val="28"/>
              </w:rPr>
            </w:pPr>
            <w:r>
              <w:rPr>
                <w:sz w:val="28"/>
                <w:szCs w:val="28"/>
              </w:rPr>
              <w:t>источники</w:t>
            </w:r>
          </w:p>
          <w:p>
            <w:pPr>
              <w:pStyle w:val="Normal"/>
              <w:shd w:fill="FFFFFF" w:val="clear"/>
              <w:rPr>
                <w:sz w:val="28"/>
                <w:szCs w:val="28"/>
              </w:rPr>
            </w:pPr>
            <w:r>
              <w:rPr>
                <w:sz w:val="28"/>
                <w:szCs w:val="28"/>
              </w:rPr>
              <w:t>финансового</w:t>
            </w:r>
          </w:p>
          <w:p>
            <w:pPr>
              <w:pStyle w:val="Normal"/>
              <w:shd w:fill="FFFFFF" w:val="clear"/>
              <w:rPr>
                <w:sz w:val="28"/>
                <w:szCs w:val="28"/>
              </w:rPr>
            </w:pPr>
            <w:r>
              <w:rPr>
                <w:sz w:val="28"/>
                <w:szCs w:val="28"/>
              </w:rPr>
              <w:t>обеспечения</w:t>
            </w:r>
          </w:p>
          <w:p>
            <w:pPr>
              <w:pStyle w:val="Normal"/>
              <w:shd w:fill="FFFFFF" w:val="clear"/>
              <w:rPr>
                <w:sz w:val="28"/>
                <w:szCs w:val="28"/>
              </w:rPr>
            </w:pPr>
            <w:r>
              <w:rPr>
                <w:sz w:val="28"/>
                <w:szCs w:val="28"/>
              </w:rPr>
              <w:t>реализации</w:t>
            </w:r>
          </w:p>
          <w:p>
            <w:pPr>
              <w:pStyle w:val="Normal"/>
              <w:shd w:fill="FFFFFF" w:val="clear"/>
              <w:rPr>
                <w:sz w:val="28"/>
                <w:szCs w:val="28"/>
              </w:rPr>
            </w:pPr>
            <w:r>
              <w:rPr>
                <w:sz w:val="28"/>
                <w:szCs w:val="28"/>
              </w:rPr>
              <w:t>муниципальной</w:t>
            </w:r>
          </w:p>
          <w:p>
            <w:pPr>
              <w:pStyle w:val="Normal"/>
              <w:shd w:fill="FFFFFF" w:val="clear"/>
              <w:rPr>
                <w:sz w:val="28"/>
                <w:szCs w:val="28"/>
              </w:rPr>
            </w:pPr>
            <w:r>
              <w:rPr>
                <w:sz w:val="28"/>
                <w:szCs w:val="28"/>
              </w:rPr>
              <w:t>программы</w:t>
            </w:r>
          </w:p>
        </w:tc>
        <w:tc>
          <w:tcPr>
            <w:tcW w:w="5811" w:type="dxa"/>
            <w:tcBorders>
              <w:top w:val="single" w:sz="4" w:space="0" w:color="000000"/>
              <w:left w:val="single" w:sz="4" w:space="0" w:color="000000"/>
              <w:bottom w:val="single" w:sz="4" w:space="0" w:color="000000"/>
              <w:right w:val="single" w:sz="4" w:space="0" w:color="000000"/>
            </w:tcBorders>
          </w:tcPr>
          <w:p>
            <w:pPr>
              <w:pStyle w:val="Normal"/>
              <w:shd w:fill="FFFFFF" w:val="clear"/>
              <w:jc w:val="both"/>
              <w:rPr>
                <w:sz w:val="28"/>
                <w:szCs w:val="28"/>
              </w:rPr>
            </w:pPr>
            <w:r>
              <w:rPr>
                <w:sz w:val="28"/>
                <w:szCs w:val="28"/>
              </w:rPr>
              <w:t>Реализация муниципальной программы предусматривает внебюджетные источники финансирования, а также финансирование мероприятий программы осуществляется из муниципальных программ по отраслям.</w:t>
            </w:r>
          </w:p>
          <w:p>
            <w:pPr>
              <w:pStyle w:val="NoSpacing"/>
              <w:jc w:val="both"/>
              <w:rPr>
                <w:rFonts w:ascii="Times New Roman" w:hAnsi="Times New Roman" w:cs="Times New Roman"/>
                <w:color w:val="C9211E"/>
                <w:sz w:val="28"/>
                <w:szCs w:val="28"/>
              </w:rPr>
            </w:pPr>
            <w:r>
              <w:rPr>
                <w:rFonts w:cs="Times New Roman" w:ascii="Times New Roman" w:hAnsi="Times New Roman"/>
                <w:color w:val="C9211E"/>
                <w:sz w:val="28"/>
                <w:szCs w:val="28"/>
              </w:rPr>
            </w:r>
          </w:p>
        </w:tc>
      </w:tr>
      <w:tr>
        <w:trPr/>
        <w:tc>
          <w:tcPr>
            <w:tcW w:w="3369"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cs="Times New Roman"/>
                <w:sz w:val="28"/>
                <w:szCs w:val="28"/>
              </w:rPr>
            </w:pPr>
            <w:r>
              <w:rPr>
                <w:rFonts w:cs="Times New Roman" w:ascii="Times New Roman" w:hAnsi="Times New Roman"/>
                <w:sz w:val="28"/>
                <w:szCs w:val="28"/>
              </w:rPr>
              <w:t>Ожидаемые результаты реализации муниципальной программы</w:t>
            </w:r>
          </w:p>
        </w:tc>
        <w:tc>
          <w:tcPr>
            <w:tcW w:w="5811" w:type="dxa"/>
            <w:tcBorders>
              <w:top w:val="single" w:sz="4" w:space="0" w:color="000000"/>
              <w:left w:val="single" w:sz="4" w:space="0" w:color="000000"/>
              <w:bottom w:val="single" w:sz="4" w:space="0" w:color="000000"/>
              <w:right w:val="single" w:sz="4" w:space="0" w:color="000000"/>
            </w:tcBorders>
          </w:tcPr>
          <w:p>
            <w:pPr>
              <w:pStyle w:val="Normal"/>
              <w:rPr>
                <w:sz w:val="28"/>
                <w:szCs w:val="28"/>
              </w:rPr>
            </w:pPr>
            <w:r>
              <w:rPr>
                <w:sz w:val="28"/>
                <w:szCs w:val="28"/>
              </w:rPr>
              <w:t>К 2028 году планируется достижение следующих значений:</w:t>
            </w:r>
          </w:p>
          <w:p>
            <w:pPr>
              <w:pStyle w:val="Normal"/>
              <w:spacing w:lineRule="atLeast" w:line="200"/>
              <w:jc w:val="both"/>
              <w:rPr>
                <w:sz w:val="28"/>
                <w:szCs w:val="28"/>
              </w:rPr>
            </w:pPr>
            <w:r>
              <w:rPr>
                <w:sz w:val="28"/>
                <w:szCs w:val="28"/>
              </w:rPr>
              <w:t xml:space="preserve">- ежегодный охват мероприятиями по укреплению общественного здоровья среди населения не менее 30%;     </w:t>
            </w:r>
          </w:p>
          <w:p>
            <w:pPr>
              <w:pStyle w:val="NoSpacing"/>
              <w:jc w:val="both"/>
              <w:rPr>
                <w:rFonts w:ascii="Times New Roman" w:hAnsi="Times New Roman" w:cs="Times New Roman"/>
                <w:sz w:val="28"/>
                <w:szCs w:val="28"/>
              </w:rPr>
            </w:pPr>
            <w:r>
              <w:rPr>
                <w:rFonts w:cs="Times New Roman" w:ascii="Times New Roman" w:hAnsi="Times New Roman"/>
                <w:sz w:val="28"/>
                <w:szCs w:val="28"/>
              </w:rPr>
              <w:t>- доля граждан, систематически занимающихся физической культурой и спортом, не менее 70%;</w:t>
            </w:r>
          </w:p>
          <w:p>
            <w:pPr>
              <w:pStyle w:val="Normal"/>
              <w:jc w:val="both"/>
              <w:rPr>
                <w:color w:val="000000"/>
                <w:sz w:val="28"/>
                <w:szCs w:val="28"/>
                <w:lang w:eastAsia="ru-RU"/>
              </w:rPr>
            </w:pPr>
            <w:r>
              <w:rPr>
                <w:color w:val="000000"/>
                <w:sz w:val="28"/>
                <w:szCs w:val="28"/>
                <w:lang w:eastAsia="ru-RU"/>
              </w:rPr>
              <w:t>- создание среды, способствующей ведению здорового образа жизни населением (установка нового игрового и спортивного оборудования (6 единиц), спортивных площадок (2 единицы), обустройство спортивного парка «Солнечный», капитальный ремонт улицы Чехова в г. Топки с оборудованием пешеходной зоны и велодорожек.</w:t>
            </w:r>
          </w:p>
        </w:tc>
      </w:tr>
    </w:tbl>
    <w:p>
      <w:pPr>
        <w:pStyle w:val="NoSpacing"/>
        <w:jc w:val="both"/>
        <w:rPr>
          <w:rFonts w:ascii="Times New Roman" w:hAnsi="Times New Roman" w:cs="Times New Roman"/>
          <w:sz w:val="28"/>
          <w:szCs w:val="28"/>
        </w:rPr>
      </w:pPr>
      <w:r>
        <w:rPr>
          <w:rFonts w:cs="Times New Roman" w:ascii="Times New Roman" w:hAnsi="Times New Roman"/>
          <w:sz w:val="28"/>
          <w:szCs w:val="28"/>
        </w:rPr>
      </w:r>
    </w:p>
    <w:p>
      <w:pPr>
        <w:pStyle w:val="ListParagraph"/>
        <w:numPr>
          <w:ilvl w:val="0"/>
          <w:numId w:val="2"/>
        </w:numPr>
        <w:shd w:fill="FFFFFF" w:val="clear"/>
        <w:spacing w:lineRule="auto" w:line="240" w:before="0" w:after="0"/>
        <w:jc w:val="center"/>
        <w:rPr>
          <w:rFonts w:ascii="Times New Roman" w:hAnsi="Times New Roman" w:cs="Times New Roman"/>
          <w:b/>
          <w:b/>
          <w:bCs/>
          <w:color w:val="000000"/>
          <w:sz w:val="28"/>
          <w:szCs w:val="28"/>
        </w:rPr>
      </w:pPr>
      <w:r>
        <w:rPr>
          <w:rFonts w:cs="Times New Roman" w:ascii="Times New Roman" w:hAnsi="Times New Roman"/>
          <w:b/>
          <w:bCs/>
          <w:color w:val="000000"/>
          <w:sz w:val="28"/>
          <w:szCs w:val="28"/>
        </w:rPr>
        <w:t>Характеристика текущего состояния сферы реализации муниципальной программы</w:t>
      </w:r>
    </w:p>
    <w:p>
      <w:pPr>
        <w:pStyle w:val="ListParagraph"/>
        <w:shd w:fill="FFFFFF" w:val="clear"/>
        <w:spacing w:lineRule="auto" w:line="240" w:before="0" w:after="0"/>
        <w:ind w:left="1080" w:right="0" w:hanging="0"/>
        <w:rPr>
          <w:rFonts w:ascii="Times New Roman" w:hAnsi="Times New Roman" w:cs="Times New Roman"/>
          <w:b/>
          <w:b/>
          <w:bCs/>
          <w:color w:val="000000"/>
          <w:sz w:val="28"/>
          <w:szCs w:val="28"/>
        </w:rPr>
      </w:pPr>
      <w:r>
        <w:rPr>
          <w:rFonts w:cs="Times New Roman" w:ascii="Times New Roman" w:hAnsi="Times New Roman"/>
          <w:b/>
          <w:bCs/>
          <w:color w:val="000000"/>
          <w:sz w:val="28"/>
          <w:szCs w:val="28"/>
        </w:rPr>
      </w:r>
    </w:p>
    <w:p>
      <w:pPr>
        <w:pStyle w:val="Normal"/>
        <w:jc w:val="center"/>
        <w:rPr>
          <w:b/>
          <w:b/>
          <w:bCs/>
          <w:sz w:val="28"/>
          <w:szCs w:val="28"/>
        </w:rPr>
      </w:pPr>
      <w:r>
        <w:rPr>
          <w:b/>
          <w:bCs/>
          <w:sz w:val="28"/>
          <w:szCs w:val="28"/>
        </w:rPr>
        <w:t>1. Географическая характеристика Топкинского</w:t>
      </w:r>
    </w:p>
    <w:p>
      <w:pPr>
        <w:pStyle w:val="Normal"/>
        <w:jc w:val="center"/>
        <w:rPr>
          <w:b/>
          <w:b/>
          <w:bCs/>
          <w:sz w:val="28"/>
          <w:szCs w:val="28"/>
        </w:rPr>
      </w:pPr>
      <w:r>
        <w:rPr>
          <w:b/>
          <w:bCs/>
          <w:sz w:val="28"/>
          <w:szCs w:val="28"/>
        </w:rPr>
        <w:t xml:space="preserve"> </w:t>
      </w:r>
      <w:r>
        <w:rPr>
          <w:b/>
          <w:bCs/>
          <w:sz w:val="28"/>
          <w:szCs w:val="28"/>
        </w:rPr>
        <w:t>муниципального округа</w:t>
      </w:r>
    </w:p>
    <w:p>
      <w:pPr>
        <w:pStyle w:val="Normal"/>
        <w:ind w:firstLine="709"/>
        <w:jc w:val="both"/>
        <w:rPr/>
      </w:pPr>
      <w:r>
        <w:rPr>
          <w:sz w:val="28"/>
          <w:szCs w:val="28"/>
        </w:rPr>
        <w:t>Топкинский муниципальный округ</w:t>
      </w:r>
      <w:r>
        <w:rPr>
          <w:sz w:val="28"/>
          <w:szCs w:val="28"/>
          <w:shd w:fill="FFFFFF" w:val="clear"/>
        </w:rPr>
        <w:t xml:space="preserve"> — муниципальное образование в Кемеровской области - Кузбассе, административный центр — город Топки. Округ расположен на западе Кемеровской области - Кузбасса. На севере он граничит с Юргинским районом, на востоке — с Кемеровским районом, на юге — с Промышленновским районом, на западе — с Новосибирской областью. В Топкинском муниципальном округе в 2024 году имеется 9 сельских территориальных управлений и г. Топки.</w:t>
      </w:r>
    </w:p>
    <w:p>
      <w:pPr>
        <w:pStyle w:val="Normal"/>
        <w:ind w:firstLine="709"/>
        <w:jc w:val="both"/>
        <w:rPr>
          <w:sz w:val="28"/>
          <w:szCs w:val="28"/>
          <w:shd w:fill="FFFFFF" w:val="clear"/>
        </w:rPr>
      </w:pPr>
      <w:r>
        <w:rPr>
          <w:sz w:val="28"/>
          <w:szCs w:val="28"/>
          <w:shd w:fill="FFFFFF" w:val="clear"/>
        </w:rPr>
      </w:r>
    </w:p>
    <w:p>
      <w:pPr>
        <w:pStyle w:val="ListParagraph"/>
        <w:spacing w:lineRule="auto" w:line="240" w:before="0" w:after="0"/>
        <w:ind w:left="0" w:right="0" w:hanging="0"/>
        <w:jc w:val="center"/>
        <w:rPr>
          <w:rFonts w:ascii="Times New Roman" w:hAnsi="Times New Roman" w:cs="Times New Roman"/>
          <w:b/>
          <w:b/>
          <w:bCs/>
          <w:sz w:val="28"/>
          <w:szCs w:val="28"/>
        </w:rPr>
      </w:pPr>
      <w:r>
        <w:rPr>
          <w:rFonts w:cs="Times New Roman" w:ascii="Times New Roman" w:hAnsi="Times New Roman"/>
          <w:b/>
          <w:bCs/>
          <w:sz w:val="28"/>
          <w:szCs w:val="28"/>
        </w:rPr>
        <w:t>2. Ожидаемая продолжительность жизни при рождении</w:t>
      </w:r>
    </w:p>
    <w:p>
      <w:pPr>
        <w:pStyle w:val="Normal"/>
        <w:ind w:firstLine="709"/>
        <w:jc w:val="both"/>
        <w:rPr>
          <w:b/>
          <w:b/>
          <w:bCs/>
          <w:i/>
          <w:i/>
          <w:iCs/>
          <w:sz w:val="28"/>
          <w:szCs w:val="28"/>
        </w:rPr>
      </w:pPr>
      <w:r>
        <w:rPr>
          <w:b/>
          <w:bCs/>
          <w:i/>
          <w:iCs/>
          <w:sz w:val="28"/>
          <w:szCs w:val="28"/>
        </w:rPr>
      </w:r>
    </w:p>
    <w:p>
      <w:pPr>
        <w:pStyle w:val="Normal"/>
        <w:ind w:firstLine="709"/>
        <w:jc w:val="both"/>
        <w:rPr>
          <w:i/>
          <w:i/>
          <w:iCs/>
          <w:sz w:val="28"/>
          <w:szCs w:val="28"/>
        </w:rPr>
      </w:pPr>
      <w:r>
        <w:rPr>
          <w:i/>
          <w:iCs/>
          <w:sz w:val="28"/>
          <w:szCs w:val="28"/>
        </w:rPr>
        <w:t>Таблица 1. Ожидаемая продолжительность жизни по Кемеровской области – Кузбассу в 2020-2022г.г.</w:t>
      </w:r>
    </w:p>
    <w:p>
      <w:pPr>
        <w:pStyle w:val="Normal"/>
        <w:widowControl w:val="false"/>
        <w:spacing w:before="0" w:after="100"/>
        <w:jc w:val="center"/>
        <w:rPr>
          <w:rFonts w:ascii="Arial Narrow" w:hAnsi="Arial Narrow" w:cs="Arial Narrow"/>
          <w:i/>
          <w:i/>
          <w:iCs/>
          <w:sz w:val="28"/>
          <w:szCs w:val="28"/>
        </w:rPr>
      </w:pPr>
      <w:r>
        <w:rPr>
          <w:rFonts w:cs="Arial Narrow" w:ascii="Arial Narrow" w:hAnsi="Arial Narrow"/>
          <w:i/>
          <w:iCs/>
          <w:sz w:val="28"/>
          <w:szCs w:val="28"/>
        </w:rPr>
      </w:r>
    </w:p>
    <w:tbl>
      <w:tblPr>
        <w:tblW w:w="7667" w:type="dxa"/>
        <w:jc w:val="center"/>
        <w:tblInd w:w="0" w:type="dxa"/>
        <w:tblLayout w:type="fixed"/>
        <w:tblCellMar>
          <w:top w:w="0" w:type="dxa"/>
          <w:left w:w="85" w:type="dxa"/>
          <w:bottom w:w="0" w:type="dxa"/>
          <w:right w:w="85" w:type="dxa"/>
        </w:tblCellMar>
      </w:tblPr>
      <w:tblGrid>
        <w:gridCol w:w="4790"/>
        <w:gridCol w:w="959"/>
        <w:gridCol w:w="959"/>
        <w:gridCol w:w="959"/>
      </w:tblGrid>
      <w:tr>
        <w:trPr/>
        <w:tc>
          <w:tcPr>
            <w:tcW w:w="4790" w:type="dxa"/>
            <w:tcBorders>
              <w:top w:val="double" w:sz="4" w:space="0" w:color="000000"/>
              <w:left w:val="double" w:sz="4" w:space="0" w:color="000000"/>
              <w:bottom w:val="single" w:sz="4" w:space="0" w:color="000000"/>
              <w:right w:val="single" w:sz="4" w:space="0" w:color="000000"/>
            </w:tcBorders>
            <w:vAlign w:val="center"/>
          </w:tcPr>
          <w:p>
            <w:pPr>
              <w:pStyle w:val="Normal"/>
              <w:snapToGrid w:val="false"/>
              <w:spacing w:lineRule="auto" w:line="264" w:before="50" w:after="0"/>
              <w:jc w:val="center"/>
              <w:rPr>
                <w:sz w:val="24"/>
                <w:szCs w:val="24"/>
              </w:rPr>
            </w:pPr>
            <w:r>
              <w:rPr>
                <w:sz w:val="24"/>
                <w:szCs w:val="24"/>
              </w:rPr>
            </w:r>
          </w:p>
        </w:tc>
        <w:tc>
          <w:tcPr>
            <w:tcW w:w="959" w:type="dxa"/>
            <w:tcBorders>
              <w:top w:val="double" w:sz="4" w:space="0" w:color="000000"/>
              <w:left w:val="single" w:sz="4" w:space="0" w:color="000000"/>
              <w:bottom w:val="single" w:sz="4" w:space="0" w:color="000000"/>
              <w:right w:val="single" w:sz="4" w:space="0" w:color="000000"/>
            </w:tcBorders>
            <w:vAlign w:val="center"/>
          </w:tcPr>
          <w:p>
            <w:pPr>
              <w:pStyle w:val="Normal"/>
              <w:spacing w:lineRule="auto" w:line="264" w:before="50" w:after="0"/>
              <w:jc w:val="center"/>
              <w:rPr>
                <w:sz w:val="24"/>
                <w:szCs w:val="24"/>
              </w:rPr>
            </w:pPr>
            <w:r>
              <w:rPr>
                <w:sz w:val="24"/>
                <w:szCs w:val="24"/>
              </w:rPr>
              <w:t>2020</w:t>
            </w:r>
          </w:p>
        </w:tc>
        <w:tc>
          <w:tcPr>
            <w:tcW w:w="959" w:type="dxa"/>
            <w:tcBorders>
              <w:top w:val="double" w:sz="4" w:space="0" w:color="000000"/>
              <w:left w:val="single" w:sz="4" w:space="0" w:color="000000"/>
              <w:bottom w:val="single" w:sz="4" w:space="0" w:color="000000"/>
              <w:right w:val="single" w:sz="4" w:space="0" w:color="000000"/>
            </w:tcBorders>
            <w:vAlign w:val="center"/>
          </w:tcPr>
          <w:p>
            <w:pPr>
              <w:pStyle w:val="Normal"/>
              <w:spacing w:lineRule="auto" w:line="264" w:before="50" w:after="0"/>
              <w:jc w:val="center"/>
              <w:rPr>
                <w:sz w:val="24"/>
                <w:szCs w:val="24"/>
              </w:rPr>
            </w:pPr>
            <w:r>
              <w:rPr>
                <w:sz w:val="24"/>
                <w:szCs w:val="24"/>
              </w:rPr>
              <w:t>2021</w:t>
            </w:r>
          </w:p>
        </w:tc>
        <w:tc>
          <w:tcPr>
            <w:tcW w:w="959" w:type="dxa"/>
            <w:tcBorders>
              <w:top w:val="double" w:sz="4" w:space="0" w:color="000000"/>
              <w:left w:val="single" w:sz="4" w:space="0" w:color="000000"/>
              <w:bottom w:val="single" w:sz="4" w:space="0" w:color="000000"/>
              <w:right w:val="double" w:sz="4" w:space="0" w:color="000000"/>
            </w:tcBorders>
            <w:vAlign w:val="center"/>
          </w:tcPr>
          <w:p>
            <w:pPr>
              <w:pStyle w:val="Normal"/>
              <w:spacing w:lineRule="auto" w:line="264" w:before="50" w:after="0"/>
              <w:jc w:val="center"/>
              <w:rPr>
                <w:sz w:val="24"/>
                <w:szCs w:val="24"/>
              </w:rPr>
            </w:pPr>
            <w:r>
              <w:rPr>
                <w:sz w:val="24"/>
                <w:szCs w:val="24"/>
              </w:rPr>
              <w:t>2022</w:t>
            </w:r>
          </w:p>
        </w:tc>
      </w:tr>
      <w:tr>
        <w:trPr/>
        <w:tc>
          <w:tcPr>
            <w:tcW w:w="7667" w:type="dxa"/>
            <w:gridSpan w:val="4"/>
            <w:tcBorders>
              <w:top w:val="dotted" w:sz="4" w:space="0" w:color="000000"/>
              <w:left w:val="double" w:sz="4" w:space="0" w:color="000000"/>
              <w:bottom w:val="dotted" w:sz="4" w:space="0" w:color="000000"/>
              <w:right w:val="double" w:sz="4" w:space="0" w:color="000000"/>
            </w:tcBorders>
            <w:vAlign w:val="center"/>
          </w:tcPr>
          <w:p>
            <w:pPr>
              <w:pStyle w:val="Normal"/>
              <w:tabs>
                <w:tab w:val="clear" w:pos="708"/>
                <w:tab w:val="decimal" w:pos="405" w:leader="none"/>
              </w:tabs>
              <w:spacing w:lineRule="auto" w:line="264" w:before="50" w:after="0"/>
              <w:jc w:val="center"/>
              <w:rPr>
                <w:sz w:val="24"/>
                <w:szCs w:val="24"/>
              </w:rPr>
            </w:pPr>
            <w:r>
              <w:rPr>
                <w:sz w:val="24"/>
                <w:szCs w:val="24"/>
              </w:rPr>
              <w:t>Все население</w:t>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rPr>
                <w:sz w:val="24"/>
                <w:szCs w:val="24"/>
              </w:rPr>
            </w:pPr>
            <w:r>
              <w:rPr>
                <w:sz w:val="24"/>
                <w:szCs w:val="24"/>
              </w:rPr>
              <w:t>Мужчины и женщины</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68,51</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67,61</w:t>
            </w:r>
          </w:p>
        </w:tc>
        <w:tc>
          <w:tcPr>
            <w:tcW w:w="959"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69,64</w:t>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ind w:left="113" w:hanging="0"/>
              <w:rPr>
                <w:sz w:val="24"/>
                <w:szCs w:val="24"/>
              </w:rPr>
            </w:pPr>
            <w:r>
              <w:rPr>
                <w:sz w:val="24"/>
                <w:szCs w:val="24"/>
              </w:rPr>
              <w:t>мужчины</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63,22</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62,80</w:t>
            </w:r>
          </w:p>
        </w:tc>
        <w:tc>
          <w:tcPr>
            <w:tcW w:w="959"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64,02</w:t>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ind w:left="113" w:hanging="0"/>
              <w:rPr>
                <w:sz w:val="24"/>
                <w:szCs w:val="24"/>
              </w:rPr>
            </w:pPr>
            <w:r>
              <w:rPr>
                <w:sz w:val="24"/>
                <w:szCs w:val="24"/>
              </w:rPr>
              <w:t>женщины</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73,77</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72,37</w:t>
            </w:r>
          </w:p>
        </w:tc>
        <w:tc>
          <w:tcPr>
            <w:tcW w:w="959"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75,18</w:t>
            </w:r>
          </w:p>
        </w:tc>
      </w:tr>
      <w:tr>
        <w:trPr/>
        <w:tc>
          <w:tcPr>
            <w:tcW w:w="7667" w:type="dxa"/>
            <w:gridSpan w:val="4"/>
            <w:tcBorders>
              <w:top w:val="dotted" w:sz="4" w:space="0" w:color="000000"/>
              <w:left w:val="double" w:sz="4" w:space="0" w:color="000000"/>
              <w:bottom w:val="dotted" w:sz="4" w:space="0" w:color="000000"/>
              <w:right w:val="double" w:sz="4" w:space="0" w:color="000000"/>
            </w:tcBorders>
            <w:vAlign w:val="center"/>
          </w:tcPr>
          <w:p>
            <w:pPr>
              <w:pStyle w:val="Normal"/>
              <w:tabs>
                <w:tab w:val="clear" w:pos="708"/>
                <w:tab w:val="decimal" w:pos="405" w:leader="none"/>
              </w:tabs>
              <w:spacing w:lineRule="auto" w:line="264" w:before="50" w:after="0"/>
              <w:jc w:val="center"/>
              <w:rPr>
                <w:sz w:val="24"/>
                <w:szCs w:val="24"/>
              </w:rPr>
            </w:pPr>
            <w:r>
              <w:rPr>
                <w:sz w:val="24"/>
                <w:szCs w:val="24"/>
              </w:rPr>
              <w:t>Городское население</w:t>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rPr>
                <w:sz w:val="24"/>
                <w:szCs w:val="24"/>
              </w:rPr>
            </w:pPr>
            <w:r>
              <w:rPr>
                <w:sz w:val="24"/>
                <w:szCs w:val="24"/>
              </w:rPr>
              <w:t>Мужчины и женщины</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68,59</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67,74</w:t>
            </w:r>
          </w:p>
        </w:tc>
        <w:tc>
          <w:tcPr>
            <w:tcW w:w="959"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69,85</w:t>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ind w:left="113" w:hanging="0"/>
              <w:rPr>
                <w:sz w:val="24"/>
                <w:szCs w:val="24"/>
              </w:rPr>
            </w:pPr>
            <w:r>
              <w:rPr>
                <w:sz w:val="24"/>
                <w:szCs w:val="24"/>
              </w:rPr>
              <w:t>мужчины</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63,18</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62,78</w:t>
            </w:r>
          </w:p>
        </w:tc>
        <w:tc>
          <w:tcPr>
            <w:tcW w:w="959"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64,06</w:t>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ind w:left="113" w:hanging="0"/>
              <w:rPr>
                <w:sz w:val="24"/>
                <w:szCs w:val="24"/>
              </w:rPr>
            </w:pPr>
            <w:r>
              <w:rPr>
                <w:sz w:val="24"/>
                <w:szCs w:val="24"/>
              </w:rPr>
              <w:t>женщины</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73,81</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72,54</w:t>
            </w:r>
          </w:p>
        </w:tc>
        <w:tc>
          <w:tcPr>
            <w:tcW w:w="959"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75,42</w:t>
            </w:r>
          </w:p>
        </w:tc>
      </w:tr>
      <w:tr>
        <w:trPr/>
        <w:tc>
          <w:tcPr>
            <w:tcW w:w="7667" w:type="dxa"/>
            <w:gridSpan w:val="4"/>
            <w:tcBorders>
              <w:top w:val="dotted" w:sz="4" w:space="0" w:color="000000"/>
              <w:left w:val="double" w:sz="4" w:space="0" w:color="000000"/>
              <w:bottom w:val="dotted" w:sz="4" w:space="0" w:color="000000"/>
              <w:right w:val="double" w:sz="4" w:space="0" w:color="000000"/>
            </w:tcBorders>
            <w:vAlign w:val="center"/>
          </w:tcPr>
          <w:p>
            <w:pPr>
              <w:pStyle w:val="Normal"/>
              <w:tabs>
                <w:tab w:val="clear" w:pos="708"/>
                <w:tab w:val="decimal" w:pos="405" w:leader="none"/>
              </w:tabs>
              <w:spacing w:lineRule="auto" w:line="264" w:before="50" w:after="0"/>
              <w:jc w:val="center"/>
              <w:rPr>
                <w:sz w:val="24"/>
                <w:szCs w:val="24"/>
              </w:rPr>
            </w:pPr>
            <w:r>
              <w:rPr>
                <w:sz w:val="24"/>
                <w:szCs w:val="24"/>
              </w:rPr>
              <w:t>Сельское население</w:t>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rPr>
                <w:sz w:val="24"/>
                <w:szCs w:val="24"/>
              </w:rPr>
            </w:pPr>
            <w:r>
              <w:rPr>
                <w:sz w:val="24"/>
                <w:szCs w:val="24"/>
              </w:rPr>
              <w:t>Мужчины и женщины</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67,95</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pPr>
            <w:r>
              <w:rPr>
                <w:sz w:val="24"/>
                <w:szCs w:val="24"/>
              </w:rPr>
              <w:t>66,70</w:t>
            </w:r>
          </w:p>
        </w:tc>
        <w:tc>
          <w:tcPr>
            <w:tcW w:w="959"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68,14</w:t>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ind w:left="113" w:hanging="0"/>
              <w:rPr>
                <w:sz w:val="24"/>
                <w:szCs w:val="24"/>
              </w:rPr>
            </w:pPr>
            <w:r>
              <w:rPr>
                <w:sz w:val="24"/>
                <w:szCs w:val="24"/>
              </w:rPr>
              <w:t>мужчины</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63,39</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62,90</w:t>
            </w:r>
          </w:p>
        </w:tc>
        <w:tc>
          <w:tcPr>
            <w:tcW w:w="959"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63,48</w:t>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ind w:left="113" w:hanging="0"/>
              <w:rPr>
                <w:sz w:val="24"/>
                <w:szCs w:val="24"/>
              </w:rPr>
            </w:pPr>
            <w:r>
              <w:rPr>
                <w:sz w:val="24"/>
                <w:szCs w:val="24"/>
              </w:rPr>
              <w:t>женщины</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73,25</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71,11</w:t>
            </w:r>
          </w:p>
        </w:tc>
        <w:tc>
          <w:tcPr>
            <w:tcW w:w="959"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73,50</w:t>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rPr>
                <w:sz w:val="24"/>
                <w:szCs w:val="24"/>
              </w:rPr>
            </w:pPr>
            <w:r>
              <w:rPr>
                <w:sz w:val="24"/>
                <w:szCs w:val="24"/>
              </w:rPr>
              <w:t>Справочно по России:</w:t>
            </w:r>
          </w:p>
        </w:tc>
        <w:tc>
          <w:tcPr>
            <w:tcW w:w="959"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405" w:leader="none"/>
              </w:tabs>
              <w:snapToGrid w:val="false"/>
              <w:spacing w:lineRule="auto" w:line="264" w:before="50" w:after="0"/>
              <w:rPr>
                <w:sz w:val="24"/>
                <w:szCs w:val="24"/>
              </w:rPr>
            </w:pPr>
            <w:r>
              <w:rPr>
                <w:sz w:val="24"/>
                <w:szCs w:val="24"/>
              </w:rPr>
            </w:r>
          </w:p>
        </w:tc>
        <w:tc>
          <w:tcPr>
            <w:tcW w:w="959"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405" w:leader="none"/>
              </w:tabs>
              <w:snapToGrid w:val="false"/>
              <w:spacing w:lineRule="auto" w:line="264" w:before="50" w:after="0"/>
              <w:rPr>
                <w:sz w:val="24"/>
                <w:szCs w:val="24"/>
              </w:rPr>
            </w:pPr>
            <w:r>
              <w:rPr>
                <w:sz w:val="24"/>
                <w:szCs w:val="24"/>
              </w:rPr>
            </w:r>
          </w:p>
        </w:tc>
        <w:tc>
          <w:tcPr>
            <w:tcW w:w="959" w:type="dxa"/>
            <w:tcBorders>
              <w:top w:val="dotted" w:sz="4" w:space="0" w:color="000000"/>
              <w:left w:val="dotted" w:sz="4" w:space="0" w:color="000000"/>
              <w:bottom w:val="dotted" w:sz="4" w:space="0" w:color="000000"/>
              <w:right w:val="double" w:sz="4" w:space="0" w:color="000000"/>
            </w:tcBorders>
            <w:vAlign w:val="center"/>
          </w:tcPr>
          <w:p>
            <w:pPr>
              <w:pStyle w:val="Normal"/>
              <w:tabs>
                <w:tab w:val="clear" w:pos="708"/>
                <w:tab w:val="decimal" w:pos="405" w:leader="none"/>
              </w:tabs>
              <w:snapToGrid w:val="false"/>
              <w:spacing w:lineRule="auto" w:line="264" w:before="50" w:after="0"/>
              <w:rPr>
                <w:sz w:val="24"/>
                <w:szCs w:val="24"/>
              </w:rPr>
            </w:pPr>
            <w:r>
              <w:rPr>
                <w:sz w:val="24"/>
                <w:szCs w:val="24"/>
              </w:rPr>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ind w:left="113" w:hanging="0"/>
              <w:rPr>
                <w:sz w:val="24"/>
                <w:szCs w:val="24"/>
              </w:rPr>
            </w:pPr>
            <w:r>
              <w:rPr>
                <w:sz w:val="24"/>
                <w:szCs w:val="24"/>
              </w:rPr>
              <w:t>мужчины и женщины</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71,54</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70,06</w:t>
            </w:r>
          </w:p>
        </w:tc>
        <w:tc>
          <w:tcPr>
            <w:tcW w:w="959"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72,73</w:t>
            </w:r>
          </w:p>
        </w:tc>
      </w:tr>
      <w:tr>
        <w:trPr/>
        <w:tc>
          <w:tcPr>
            <w:tcW w:w="4790"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auto" w:line="264" w:before="50" w:after="0"/>
              <w:ind w:left="227" w:hanging="0"/>
              <w:rPr>
                <w:sz w:val="24"/>
                <w:szCs w:val="24"/>
              </w:rPr>
            </w:pPr>
            <w:r>
              <w:rPr>
                <w:sz w:val="24"/>
                <w:szCs w:val="24"/>
              </w:rPr>
              <w:t>мужчины</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66,49</w:t>
            </w:r>
          </w:p>
        </w:tc>
        <w:tc>
          <w:tcPr>
            <w:tcW w:w="9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65,51</w:t>
            </w:r>
          </w:p>
        </w:tc>
        <w:tc>
          <w:tcPr>
            <w:tcW w:w="959"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67,57</w:t>
            </w:r>
          </w:p>
        </w:tc>
      </w:tr>
      <w:tr>
        <w:trPr/>
        <w:tc>
          <w:tcPr>
            <w:tcW w:w="4790" w:type="dxa"/>
            <w:tcBorders>
              <w:top w:val="dotted" w:sz="4" w:space="0" w:color="000000"/>
              <w:left w:val="double" w:sz="4" w:space="0" w:color="000000"/>
              <w:bottom w:val="double" w:sz="4" w:space="0" w:color="000000"/>
              <w:right w:val="dotted" w:sz="4" w:space="0" w:color="000000"/>
            </w:tcBorders>
            <w:vAlign w:val="center"/>
          </w:tcPr>
          <w:p>
            <w:pPr>
              <w:pStyle w:val="Normal"/>
              <w:widowControl w:val="false"/>
              <w:spacing w:lineRule="auto" w:line="264" w:before="50" w:after="0"/>
              <w:ind w:left="227" w:hanging="0"/>
              <w:rPr>
                <w:sz w:val="24"/>
                <w:szCs w:val="24"/>
              </w:rPr>
            </w:pPr>
            <w:r>
              <w:rPr>
                <w:sz w:val="24"/>
                <w:szCs w:val="24"/>
              </w:rPr>
              <w:t>женщины</w:t>
            </w:r>
          </w:p>
        </w:tc>
        <w:tc>
          <w:tcPr>
            <w:tcW w:w="959" w:type="dxa"/>
            <w:tcBorders>
              <w:top w:val="dotted" w:sz="4" w:space="0" w:color="000000"/>
              <w:left w:val="dotted" w:sz="4" w:space="0" w:color="000000"/>
              <w:bottom w:val="double"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76,43</w:t>
            </w:r>
          </w:p>
        </w:tc>
        <w:tc>
          <w:tcPr>
            <w:tcW w:w="959" w:type="dxa"/>
            <w:tcBorders>
              <w:top w:val="dotted" w:sz="4" w:space="0" w:color="000000"/>
              <w:left w:val="dotted" w:sz="4" w:space="0" w:color="000000"/>
              <w:bottom w:val="double" w:sz="4" w:space="0" w:color="000000"/>
              <w:right w:val="dotted"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74,51</w:t>
            </w:r>
          </w:p>
        </w:tc>
        <w:tc>
          <w:tcPr>
            <w:tcW w:w="959" w:type="dxa"/>
            <w:tcBorders>
              <w:top w:val="dotted" w:sz="4" w:space="0" w:color="000000"/>
              <w:left w:val="dotted" w:sz="4" w:space="0" w:color="000000"/>
              <w:bottom w:val="double" w:sz="4" w:space="0" w:color="000000"/>
              <w:right w:val="double" w:sz="4" w:space="0" w:color="000000"/>
            </w:tcBorders>
            <w:vAlign w:val="bottom"/>
          </w:tcPr>
          <w:p>
            <w:pPr>
              <w:pStyle w:val="Normal"/>
              <w:tabs>
                <w:tab w:val="clear" w:pos="708"/>
                <w:tab w:val="decimal" w:pos="405" w:leader="none"/>
              </w:tabs>
              <w:spacing w:lineRule="auto" w:line="264" w:before="50" w:after="0"/>
              <w:rPr>
                <w:sz w:val="24"/>
                <w:szCs w:val="24"/>
              </w:rPr>
            </w:pPr>
            <w:r>
              <w:rPr>
                <w:sz w:val="24"/>
                <w:szCs w:val="24"/>
              </w:rPr>
              <w:t>77,77</w:t>
            </w:r>
          </w:p>
        </w:tc>
      </w:tr>
    </w:tbl>
    <w:p>
      <w:pPr>
        <w:pStyle w:val="Normal"/>
        <w:ind w:firstLine="709"/>
        <w:rPr>
          <w:color w:val="FF0000"/>
          <w:sz w:val="28"/>
          <w:szCs w:val="28"/>
        </w:rPr>
      </w:pPr>
      <w:r>
        <w:rPr>
          <w:color w:val="FF0000"/>
          <w:sz w:val="28"/>
          <w:szCs w:val="28"/>
        </w:rPr>
      </w:r>
    </w:p>
    <w:p>
      <w:pPr>
        <w:pStyle w:val="Normal"/>
        <w:ind w:firstLine="709"/>
        <w:rPr>
          <w:color w:val="FF0000"/>
          <w:sz w:val="28"/>
          <w:szCs w:val="28"/>
        </w:rPr>
      </w:pPr>
      <w:r>
        <w:rPr>
          <w:color w:val="FF0000"/>
          <w:sz w:val="28"/>
          <w:szCs w:val="28"/>
        </w:rPr>
      </w:r>
    </w:p>
    <w:p>
      <w:pPr>
        <w:pStyle w:val="ListParagraph"/>
        <w:spacing w:lineRule="auto" w:line="240" w:before="0" w:after="0"/>
        <w:ind w:left="0" w:right="0" w:hanging="0"/>
        <w:jc w:val="center"/>
        <w:rPr/>
      </w:pPr>
      <w:r>
        <w:rPr>
          <w:rFonts w:cs="Times New Roman" w:ascii="Times New Roman" w:hAnsi="Times New Roman"/>
          <w:b/>
          <w:bCs/>
          <w:sz w:val="28"/>
          <w:szCs w:val="28"/>
          <w:lang w:eastAsia="ru-RU"/>
        </w:rPr>
        <w:t xml:space="preserve">3. </w:t>
      </w:r>
      <w:r>
        <w:rPr>
          <w:rFonts w:cs="Times New Roman" w:ascii="Times New Roman" w:hAnsi="Times New Roman"/>
          <w:b/>
          <w:bCs/>
          <w:sz w:val="28"/>
          <w:szCs w:val="28"/>
          <w:lang w:val="ru-RU" w:eastAsia="ru-RU"/>
        </w:rPr>
        <w:t>Численность населения</w:t>
      </w:r>
      <w:r>
        <w:rPr>
          <w:rFonts w:cs="Times New Roman" w:ascii="Times New Roman" w:hAnsi="Times New Roman"/>
          <w:b/>
          <w:bCs/>
          <w:sz w:val="28"/>
          <w:szCs w:val="28"/>
        </w:rPr>
        <w:t xml:space="preserve"> Топкинского муниципального округа</w:t>
      </w:r>
    </w:p>
    <w:p>
      <w:pPr>
        <w:pStyle w:val="ListParagraph"/>
        <w:spacing w:lineRule="auto" w:line="240" w:before="0" w:after="0"/>
        <w:ind w:left="0" w:right="0" w:hanging="0"/>
        <w:jc w:val="center"/>
        <w:rPr>
          <w:rFonts w:ascii="Times New Roman" w:hAnsi="Times New Roman" w:cs="Times New Roman"/>
          <w:b/>
          <w:b/>
          <w:bCs/>
          <w:sz w:val="28"/>
          <w:szCs w:val="28"/>
          <w:lang w:val="ru-RU" w:eastAsia="ru-RU"/>
        </w:rPr>
      </w:pPr>
      <w:r>
        <w:rPr>
          <w:rFonts w:cs="Times New Roman" w:ascii="Times New Roman" w:hAnsi="Times New Roman"/>
          <w:b/>
          <w:bCs/>
          <w:sz w:val="28"/>
          <w:szCs w:val="28"/>
          <w:lang w:val="ru-RU" w:eastAsia="ru-RU"/>
        </w:rPr>
      </w:r>
    </w:p>
    <w:p>
      <w:pPr>
        <w:pStyle w:val="Default"/>
        <w:ind w:firstLine="567"/>
        <w:jc w:val="both"/>
        <w:rPr/>
      </w:pPr>
      <w:r>
        <w:rPr>
          <w:sz w:val="28"/>
          <w:szCs w:val="28"/>
        </w:rPr>
        <w:t>Общая численность населения Топкинского муниципального округа по состоянию на 01.01.2023 (по данным территориального органа федеральной службы государственной статистики по Кемеровской области-Кузбассу)</w:t>
      </w:r>
      <w:r>
        <w:rPr>
          <w:rFonts w:cs="Arial" w:ascii="Arial" w:hAnsi="Arial"/>
        </w:rPr>
        <w:t xml:space="preserve"> </w:t>
      </w:r>
      <w:r>
        <w:rPr>
          <w:sz w:val="28"/>
          <w:szCs w:val="28"/>
        </w:rPr>
        <w:t>составляет 40738 человек, что составляет 1,6 % от населения Кемеровской области – Кузбасса (2568238 чел.). Численность населения Топкинского муниципального округа: городское – 26861 человек (66 %), сельское – 13877 человек (34 %). Численность мужского населения составляет 18786 человек (46</w:t>
      </w:r>
      <w:bookmarkStart w:id="4" w:name="_Hlk30508861"/>
      <w:r>
        <w:rPr>
          <w:sz w:val="28"/>
          <w:szCs w:val="28"/>
        </w:rPr>
        <w:t xml:space="preserve"> % от населения </w:t>
      </w:r>
      <w:bookmarkEnd w:id="4"/>
      <w:r>
        <w:rPr>
          <w:sz w:val="28"/>
          <w:szCs w:val="28"/>
        </w:rPr>
        <w:t>округа), женского – 21952 человек (54 % от населения округа).</w:t>
      </w:r>
    </w:p>
    <w:p>
      <w:pPr>
        <w:pStyle w:val="ListParagraph"/>
        <w:spacing w:lineRule="auto" w:line="240" w:before="0" w:after="0"/>
        <w:ind w:left="0" w:right="0" w:firstLine="709"/>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rmal"/>
        <w:ind w:firstLine="709"/>
        <w:jc w:val="both"/>
        <w:rPr/>
      </w:pPr>
      <w:r>
        <w:rPr>
          <w:sz w:val="28"/>
          <w:szCs w:val="28"/>
        </w:rPr>
        <w:t xml:space="preserve">Численность населения трудоспособного возраста </w:t>
      </w:r>
      <w:r>
        <w:rPr>
          <w:color w:val="000000"/>
          <w:sz w:val="28"/>
          <w:szCs w:val="28"/>
        </w:rPr>
        <w:t>21332</w:t>
      </w:r>
      <w:r>
        <w:rPr>
          <w:sz w:val="28"/>
          <w:szCs w:val="28"/>
        </w:rPr>
        <w:t xml:space="preserve"> человек (52% от общей численности населения), из них официальная численность занятых в экономике 12903 человека.</w:t>
      </w:r>
    </w:p>
    <w:p>
      <w:pPr>
        <w:pStyle w:val="Normal"/>
        <w:ind w:firstLine="709"/>
        <w:jc w:val="both"/>
        <w:rPr>
          <w:sz w:val="28"/>
          <w:szCs w:val="28"/>
        </w:rPr>
      </w:pPr>
      <w:r>
        <w:rPr>
          <w:sz w:val="28"/>
          <w:szCs w:val="28"/>
        </w:rPr>
      </w:r>
    </w:p>
    <w:p>
      <w:pPr>
        <w:pStyle w:val="Normal"/>
        <w:ind w:firstLine="709"/>
        <w:jc w:val="both"/>
        <w:rPr>
          <w:sz w:val="28"/>
          <w:szCs w:val="28"/>
        </w:rPr>
      </w:pPr>
      <w:r>
        <w:rPr>
          <w:sz w:val="28"/>
          <w:szCs w:val="28"/>
        </w:rPr>
        <w:t>По коэффициенту рождаемости населения Топкинский муниципальный округ на 2 месте среди муниципальных образований Кемеровской области-Кузбасса (на 01.01.2023)</w:t>
      </w:r>
    </w:p>
    <w:p>
      <w:pPr>
        <w:pStyle w:val="Normal"/>
        <w:ind w:firstLine="709"/>
        <w:jc w:val="both"/>
        <w:rPr>
          <w:sz w:val="28"/>
          <w:szCs w:val="28"/>
        </w:rPr>
      </w:pPr>
      <w:r>
        <w:rPr>
          <w:sz w:val="28"/>
          <w:szCs w:val="28"/>
        </w:rPr>
      </w:r>
    </w:p>
    <w:p>
      <w:pPr>
        <w:pStyle w:val="ListParagraph"/>
        <w:spacing w:lineRule="auto" w:line="240" w:before="0" w:after="0"/>
        <w:ind w:left="0" w:right="0" w:hanging="0"/>
        <w:jc w:val="both"/>
        <w:rPr>
          <w:rFonts w:ascii="Times New Roman" w:hAnsi="Times New Roman" w:cs="Times New Roman"/>
          <w:i/>
          <w:i/>
          <w:iCs/>
          <w:sz w:val="28"/>
          <w:szCs w:val="28"/>
        </w:rPr>
      </w:pPr>
      <w:r>
        <w:rPr>
          <w:rFonts w:cs="Times New Roman" w:ascii="Times New Roman" w:hAnsi="Times New Roman"/>
          <w:i/>
          <w:iCs/>
          <w:sz w:val="28"/>
          <w:szCs w:val="28"/>
        </w:rPr>
        <w:t>Таблица 2. Рождаемость населения 2020-2022 гг. (чел.)</w:t>
      </w:r>
    </w:p>
    <w:tbl>
      <w:tblPr>
        <w:tblW w:w="8109" w:type="dxa"/>
        <w:jc w:val="center"/>
        <w:tblInd w:w="0" w:type="dxa"/>
        <w:tblLayout w:type="fixed"/>
        <w:tblCellMar>
          <w:top w:w="0" w:type="dxa"/>
          <w:left w:w="108" w:type="dxa"/>
          <w:bottom w:w="0" w:type="dxa"/>
          <w:right w:w="108" w:type="dxa"/>
        </w:tblCellMar>
      </w:tblPr>
      <w:tblGrid>
        <w:gridCol w:w="2262"/>
        <w:gridCol w:w="1276"/>
        <w:gridCol w:w="1424"/>
        <w:gridCol w:w="1559"/>
        <w:gridCol w:w="1588"/>
      </w:tblGrid>
      <w:tr>
        <w:trPr/>
        <w:tc>
          <w:tcPr>
            <w:tcW w:w="2262"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both"/>
              <w:rPr>
                <w:rFonts w:ascii="Times New Roman" w:hAnsi="Times New Roman" w:cs="Times New Roman"/>
                <w:sz w:val="24"/>
                <w:szCs w:val="24"/>
              </w:rPr>
            </w:pPr>
            <w:r>
              <w:rPr>
                <w:rFonts w:cs="Times New Roman" w:ascii="Times New Roman" w:hAnsi="Times New Roman"/>
                <w:sz w:val="24"/>
                <w:szCs w:val="24"/>
              </w:rPr>
              <w:t>Показатель</w:t>
            </w:r>
          </w:p>
        </w:tc>
        <w:tc>
          <w:tcPr>
            <w:tcW w:w="1276"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2020</w:t>
            </w:r>
          </w:p>
        </w:tc>
        <w:tc>
          <w:tcPr>
            <w:tcW w:w="1424"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2021</w:t>
            </w:r>
          </w:p>
        </w:tc>
        <w:tc>
          <w:tcPr>
            <w:tcW w:w="1559"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2022</w:t>
            </w:r>
          </w:p>
        </w:tc>
        <w:tc>
          <w:tcPr>
            <w:tcW w:w="1588" w:type="dxa"/>
            <w:tcBorders>
              <w:top w:val="single" w:sz="4" w:space="0" w:color="000000"/>
              <w:left w:val="single" w:sz="4" w:space="0" w:color="000000"/>
              <w:bottom w:val="single" w:sz="4" w:space="0" w:color="000000"/>
              <w:right w:val="single" w:sz="4" w:space="0" w:color="000000"/>
            </w:tcBorders>
          </w:tcPr>
          <w:p>
            <w:pPr>
              <w:pStyle w:val="Normal"/>
              <w:rPr>
                <w:rFonts w:eastAsia="Calibri"/>
                <w:sz w:val="24"/>
                <w:szCs w:val="24"/>
              </w:rPr>
            </w:pPr>
            <w:r>
              <w:rPr>
                <w:rFonts w:eastAsia="Calibri"/>
                <w:sz w:val="24"/>
                <w:szCs w:val="24"/>
              </w:rPr>
              <w:t>Динамика (%)</w:t>
            </w:r>
          </w:p>
        </w:tc>
      </w:tr>
      <w:tr>
        <w:trPr/>
        <w:tc>
          <w:tcPr>
            <w:tcW w:w="2262"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both"/>
              <w:rPr>
                <w:rFonts w:ascii="Times New Roman" w:hAnsi="Times New Roman" w:cs="Times New Roman"/>
                <w:sz w:val="24"/>
                <w:szCs w:val="24"/>
              </w:rPr>
            </w:pPr>
            <w:r>
              <w:rPr>
                <w:rFonts w:cs="Times New Roman" w:ascii="Times New Roman" w:hAnsi="Times New Roman"/>
                <w:sz w:val="24"/>
                <w:szCs w:val="24"/>
              </w:rPr>
              <w:t xml:space="preserve">Кемеровская область – Кузбасс </w:t>
            </w:r>
          </w:p>
        </w:tc>
        <w:tc>
          <w:tcPr>
            <w:tcW w:w="1276"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22601</w:t>
            </w:r>
          </w:p>
        </w:tc>
        <w:tc>
          <w:tcPr>
            <w:tcW w:w="1424"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21602</w:t>
            </w:r>
          </w:p>
        </w:tc>
        <w:tc>
          <w:tcPr>
            <w:tcW w:w="1559"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pPr>
            <w:r>
              <w:rPr>
                <w:rFonts w:cs="Times New Roman" w:ascii="Times New Roman" w:hAnsi="Times New Roman"/>
                <w:sz w:val="24"/>
                <w:szCs w:val="24"/>
              </w:rPr>
              <w:t>19765</w:t>
            </w:r>
          </w:p>
        </w:tc>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rPr>
                <w:sz w:val="24"/>
                <w:szCs w:val="24"/>
              </w:rPr>
            </w:pPr>
            <w:r>
              <w:rPr>
                <w:sz w:val="24"/>
                <w:szCs w:val="24"/>
              </w:rPr>
              <w:t>- 12,5</w:t>
            </w:r>
          </w:p>
        </w:tc>
      </w:tr>
      <w:tr>
        <w:trPr/>
        <w:tc>
          <w:tcPr>
            <w:tcW w:w="2262"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both"/>
              <w:rPr>
                <w:rFonts w:ascii="Times New Roman" w:hAnsi="Times New Roman" w:cs="Times New Roman"/>
                <w:sz w:val="24"/>
                <w:szCs w:val="24"/>
              </w:rPr>
            </w:pPr>
            <w:r>
              <w:rPr>
                <w:rFonts w:cs="Times New Roman" w:ascii="Times New Roman" w:hAnsi="Times New Roman"/>
                <w:sz w:val="24"/>
                <w:szCs w:val="24"/>
              </w:rPr>
              <w:t>Топкинский муниципальный округ</w:t>
            </w:r>
          </w:p>
        </w:tc>
        <w:tc>
          <w:tcPr>
            <w:tcW w:w="1276"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420</w:t>
            </w:r>
          </w:p>
        </w:tc>
        <w:tc>
          <w:tcPr>
            <w:tcW w:w="1424"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420</w:t>
            </w:r>
          </w:p>
        </w:tc>
        <w:tc>
          <w:tcPr>
            <w:tcW w:w="1559"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364</w:t>
            </w:r>
          </w:p>
        </w:tc>
        <w:tc>
          <w:tcPr>
            <w:tcW w:w="1588" w:type="dxa"/>
            <w:tcBorders>
              <w:top w:val="single" w:sz="4" w:space="0" w:color="000000"/>
              <w:left w:val="single" w:sz="4" w:space="0" w:color="000000"/>
              <w:bottom w:val="single" w:sz="4" w:space="0" w:color="000000"/>
              <w:right w:val="single" w:sz="4" w:space="0" w:color="000000"/>
            </w:tcBorders>
            <w:vAlign w:val="center"/>
          </w:tcPr>
          <w:p>
            <w:pPr>
              <w:pStyle w:val="Normal"/>
              <w:rPr>
                <w:sz w:val="24"/>
                <w:szCs w:val="24"/>
              </w:rPr>
            </w:pPr>
            <w:r>
              <w:rPr>
                <w:sz w:val="24"/>
                <w:szCs w:val="24"/>
              </w:rPr>
              <w:t>-13,3</w:t>
            </w:r>
          </w:p>
        </w:tc>
      </w:tr>
    </w:tbl>
    <w:p>
      <w:pPr>
        <w:pStyle w:val="Normal"/>
        <w:keepNext w:val="true"/>
        <w:numPr>
          <w:ilvl w:val="0"/>
          <w:numId w:val="0"/>
        </w:numPr>
        <w:ind w:firstLine="709"/>
        <w:jc w:val="both"/>
        <w:outlineLvl w:val="0"/>
        <w:rPr>
          <w:rFonts w:eastAsia="Batang;바탕"/>
          <w:i/>
          <w:i/>
          <w:iCs/>
          <w:sz w:val="28"/>
          <w:szCs w:val="28"/>
        </w:rPr>
      </w:pPr>
      <w:r>
        <w:rPr>
          <w:rFonts w:eastAsia="Batang;바탕"/>
          <w:i/>
          <w:iCs/>
          <w:sz w:val="28"/>
          <w:szCs w:val="28"/>
        </w:rPr>
      </w:r>
    </w:p>
    <w:p>
      <w:pPr>
        <w:pStyle w:val="Normal"/>
        <w:ind w:firstLine="709"/>
        <w:jc w:val="both"/>
        <w:rPr>
          <w:sz w:val="28"/>
          <w:szCs w:val="28"/>
        </w:rPr>
      </w:pPr>
      <w:r>
        <w:rPr>
          <w:sz w:val="28"/>
          <w:szCs w:val="28"/>
        </w:rPr>
        <w:t>Рождаемость за период с 2020 по 2022 год в Топкинском муниципальном округе снизилась на 13,3 %</w:t>
      </w:r>
    </w:p>
    <w:p>
      <w:pPr>
        <w:pStyle w:val="Normal"/>
        <w:keepNext w:val="true"/>
        <w:numPr>
          <w:ilvl w:val="0"/>
          <w:numId w:val="0"/>
        </w:numPr>
        <w:ind w:firstLine="709"/>
        <w:jc w:val="both"/>
        <w:outlineLvl w:val="0"/>
        <w:rPr>
          <w:rFonts w:eastAsia="Batang;바탕"/>
          <w:i/>
          <w:i/>
          <w:iCs/>
          <w:sz w:val="28"/>
          <w:szCs w:val="28"/>
        </w:rPr>
      </w:pPr>
      <w:r>
        <w:rPr>
          <w:rFonts w:eastAsia="Batang;바탕"/>
          <w:i/>
          <w:iCs/>
          <w:sz w:val="28"/>
          <w:szCs w:val="28"/>
        </w:rPr>
      </w:r>
    </w:p>
    <w:p>
      <w:pPr>
        <w:pStyle w:val="Normal"/>
        <w:keepNext w:val="true"/>
        <w:numPr>
          <w:ilvl w:val="0"/>
          <w:numId w:val="0"/>
        </w:numPr>
        <w:ind w:firstLine="709"/>
        <w:jc w:val="both"/>
        <w:outlineLvl w:val="0"/>
        <w:rPr/>
      </w:pPr>
      <w:r>
        <w:rPr>
          <w:rFonts w:eastAsia="Batang;바탕"/>
          <w:i/>
          <w:iCs/>
          <w:sz w:val="28"/>
          <w:szCs w:val="28"/>
        </w:rPr>
        <w:t xml:space="preserve">Таблица 3. Половозрастной состав населения </w:t>
      </w:r>
      <w:r>
        <w:rPr>
          <w:i/>
          <w:iCs/>
          <w:sz w:val="28"/>
          <w:szCs w:val="28"/>
        </w:rPr>
        <w:t>Топкинского муниципального округа</w:t>
      </w:r>
      <w:r>
        <w:rPr>
          <w:rFonts w:eastAsia="Batang;바탕"/>
          <w:i/>
          <w:iCs/>
          <w:sz w:val="28"/>
          <w:szCs w:val="28"/>
        </w:rPr>
        <w:t xml:space="preserve"> (на 01.01.2023)</w:t>
      </w:r>
    </w:p>
    <w:tbl>
      <w:tblPr>
        <w:tblW w:w="9271" w:type="dxa"/>
        <w:jc w:val="left"/>
        <w:tblInd w:w="70" w:type="dxa"/>
        <w:tblLayout w:type="fixed"/>
        <w:tblCellMar>
          <w:top w:w="0" w:type="dxa"/>
          <w:left w:w="70" w:type="dxa"/>
          <w:bottom w:w="0" w:type="dxa"/>
          <w:right w:w="70" w:type="dxa"/>
        </w:tblCellMar>
      </w:tblPr>
      <w:tblGrid>
        <w:gridCol w:w="2892"/>
        <w:gridCol w:w="1701"/>
        <w:gridCol w:w="1701"/>
        <w:gridCol w:w="1559"/>
        <w:gridCol w:w="1418"/>
      </w:tblGrid>
      <w:tr>
        <w:trPr/>
        <w:tc>
          <w:tcPr>
            <w:tcW w:w="2892" w:type="dxa"/>
            <w:tcBorders>
              <w:top w:val="double" w:sz="4" w:space="0" w:color="000000"/>
              <w:left w:val="double" w:sz="4" w:space="0" w:color="000000"/>
              <w:bottom w:val="single" w:sz="4" w:space="0" w:color="000000"/>
            </w:tcBorders>
          </w:tcPr>
          <w:p>
            <w:pPr>
              <w:pStyle w:val="Normal"/>
              <w:snapToGrid w:val="false"/>
              <w:spacing w:lineRule="exact" w:line="234"/>
              <w:jc w:val="center"/>
              <w:rPr>
                <w:sz w:val="24"/>
                <w:szCs w:val="24"/>
              </w:rPr>
            </w:pPr>
            <w:r>
              <w:rPr>
                <w:sz w:val="24"/>
                <w:szCs w:val="24"/>
              </w:rPr>
            </w:r>
          </w:p>
        </w:tc>
        <w:tc>
          <w:tcPr>
            <w:tcW w:w="1701" w:type="dxa"/>
            <w:tcBorders>
              <w:top w:val="double" w:sz="4" w:space="0" w:color="000000"/>
              <w:left w:val="single" w:sz="6" w:space="0" w:color="000000"/>
              <w:bottom w:val="single" w:sz="4" w:space="0" w:color="000000"/>
            </w:tcBorders>
          </w:tcPr>
          <w:p>
            <w:pPr>
              <w:pStyle w:val="Normal"/>
              <w:spacing w:lineRule="exact" w:line="234"/>
              <w:jc w:val="center"/>
              <w:rPr>
                <w:sz w:val="24"/>
                <w:szCs w:val="24"/>
              </w:rPr>
            </w:pPr>
            <w:r>
              <w:rPr>
                <w:sz w:val="24"/>
                <w:szCs w:val="24"/>
              </w:rPr>
              <w:t>Мужчины</w:t>
            </w:r>
          </w:p>
          <w:p>
            <w:pPr>
              <w:pStyle w:val="Normal"/>
              <w:spacing w:lineRule="exact" w:line="234"/>
              <w:jc w:val="center"/>
              <w:rPr>
                <w:sz w:val="24"/>
                <w:szCs w:val="24"/>
              </w:rPr>
            </w:pPr>
            <w:r>
              <w:rPr>
                <w:sz w:val="24"/>
                <w:szCs w:val="24"/>
              </w:rPr>
              <w:t>и женщины</w:t>
            </w:r>
          </w:p>
        </w:tc>
        <w:tc>
          <w:tcPr>
            <w:tcW w:w="1701" w:type="dxa"/>
            <w:tcBorders>
              <w:top w:val="double" w:sz="4" w:space="0" w:color="000000"/>
              <w:left w:val="single" w:sz="6" w:space="0" w:color="000000"/>
              <w:bottom w:val="single" w:sz="4" w:space="0" w:color="000000"/>
              <w:right w:val="single" w:sz="6" w:space="0" w:color="000000"/>
            </w:tcBorders>
          </w:tcPr>
          <w:p>
            <w:pPr>
              <w:pStyle w:val="Normal"/>
              <w:spacing w:lineRule="exact" w:line="234"/>
              <w:jc w:val="center"/>
              <w:rPr>
                <w:sz w:val="24"/>
                <w:szCs w:val="24"/>
              </w:rPr>
            </w:pPr>
            <w:r>
              <w:rPr>
                <w:sz w:val="24"/>
                <w:szCs w:val="24"/>
              </w:rPr>
              <w:t>Мужчины</w:t>
            </w:r>
          </w:p>
        </w:tc>
        <w:tc>
          <w:tcPr>
            <w:tcW w:w="1559" w:type="dxa"/>
            <w:tcBorders>
              <w:top w:val="double" w:sz="4" w:space="0" w:color="000000"/>
              <w:bottom w:val="single" w:sz="4" w:space="0" w:color="000000"/>
            </w:tcBorders>
          </w:tcPr>
          <w:p>
            <w:pPr>
              <w:pStyle w:val="Normal"/>
              <w:spacing w:lineRule="exact" w:line="234"/>
              <w:jc w:val="center"/>
              <w:rPr>
                <w:sz w:val="24"/>
                <w:szCs w:val="24"/>
              </w:rPr>
            </w:pPr>
            <w:r>
              <w:rPr>
                <w:sz w:val="24"/>
                <w:szCs w:val="24"/>
              </w:rPr>
              <w:t>Женщины</w:t>
            </w:r>
          </w:p>
        </w:tc>
        <w:tc>
          <w:tcPr>
            <w:tcW w:w="1418" w:type="dxa"/>
            <w:tcBorders>
              <w:top w:val="double" w:sz="4" w:space="0" w:color="000000"/>
              <w:left w:val="single" w:sz="6" w:space="0" w:color="000000"/>
              <w:bottom w:val="single" w:sz="4" w:space="0" w:color="000000"/>
              <w:right w:val="double" w:sz="4" w:space="0" w:color="000000"/>
            </w:tcBorders>
          </w:tcPr>
          <w:p>
            <w:pPr>
              <w:pStyle w:val="Normal"/>
              <w:spacing w:lineRule="exact" w:line="234"/>
              <w:jc w:val="center"/>
              <w:rPr>
                <w:sz w:val="24"/>
                <w:szCs w:val="24"/>
              </w:rPr>
            </w:pPr>
            <w:r>
              <w:rPr>
                <w:sz w:val="24"/>
                <w:szCs w:val="24"/>
              </w:rPr>
              <w:t>Число женщин</w:t>
            </w:r>
          </w:p>
          <w:p>
            <w:pPr>
              <w:pStyle w:val="Normal"/>
              <w:spacing w:lineRule="exact" w:line="234"/>
              <w:jc w:val="center"/>
              <w:rPr>
                <w:sz w:val="24"/>
                <w:szCs w:val="24"/>
              </w:rPr>
            </w:pPr>
            <w:r>
              <w:rPr>
                <w:sz w:val="24"/>
                <w:szCs w:val="24"/>
              </w:rPr>
              <w:t>на 100 мужчин</w:t>
            </w:r>
          </w:p>
        </w:tc>
      </w:tr>
      <w:tr>
        <w:trPr/>
        <w:tc>
          <w:tcPr>
            <w:tcW w:w="2892" w:type="dxa"/>
            <w:tcBorders>
              <w:top w:val="single" w:sz="4" w:space="0" w:color="000000"/>
              <w:left w:val="double" w:sz="4" w:space="0" w:color="000000"/>
              <w:bottom w:val="dotted" w:sz="4" w:space="0" w:color="000000"/>
              <w:right w:val="dotted" w:sz="4" w:space="0" w:color="000000"/>
            </w:tcBorders>
            <w:vAlign w:val="center"/>
          </w:tcPr>
          <w:p>
            <w:pPr>
              <w:pStyle w:val="Normal"/>
              <w:spacing w:lineRule="exact" w:line="234"/>
              <w:rPr>
                <w:b/>
                <w:b/>
                <w:sz w:val="24"/>
                <w:szCs w:val="24"/>
              </w:rPr>
            </w:pPr>
            <w:r>
              <w:rPr>
                <w:b/>
                <w:sz w:val="24"/>
                <w:szCs w:val="24"/>
              </w:rPr>
              <w:t>Топкинский</w:t>
            </w:r>
          </w:p>
          <w:p>
            <w:pPr>
              <w:pStyle w:val="Normal"/>
              <w:spacing w:lineRule="exact" w:line="234"/>
              <w:rPr>
                <w:b/>
                <w:b/>
                <w:sz w:val="24"/>
                <w:szCs w:val="24"/>
              </w:rPr>
            </w:pPr>
            <w:r>
              <w:rPr>
                <w:b/>
                <w:sz w:val="24"/>
                <w:szCs w:val="24"/>
              </w:rPr>
              <w:t xml:space="preserve">  </w:t>
            </w:r>
            <w:r>
              <w:rPr>
                <w:b/>
                <w:sz w:val="24"/>
                <w:szCs w:val="24"/>
              </w:rPr>
              <w:t>муниципальный округ</w:t>
            </w:r>
          </w:p>
        </w:tc>
        <w:tc>
          <w:tcPr>
            <w:tcW w:w="1701" w:type="dxa"/>
            <w:tcBorders>
              <w:top w:val="single" w:sz="4" w:space="0" w:color="000000"/>
              <w:left w:val="dotted" w:sz="4" w:space="0" w:color="000000"/>
              <w:bottom w:val="dotted" w:sz="4" w:space="0" w:color="000000"/>
              <w:right w:val="dotted" w:sz="4" w:space="0" w:color="000000"/>
            </w:tcBorders>
            <w:vAlign w:val="center"/>
          </w:tcPr>
          <w:p>
            <w:pPr>
              <w:pStyle w:val="Normal"/>
              <w:tabs>
                <w:tab w:val="clear" w:pos="708"/>
                <w:tab w:val="decimal" w:pos="914" w:leader="none"/>
              </w:tabs>
              <w:spacing w:lineRule="exact" w:line="234"/>
              <w:jc w:val="both"/>
              <w:rPr>
                <w:b/>
                <w:b/>
                <w:color w:val="000000"/>
                <w:sz w:val="24"/>
                <w:szCs w:val="24"/>
              </w:rPr>
            </w:pPr>
            <w:r>
              <w:rPr>
                <w:b/>
                <w:color w:val="000000"/>
                <w:sz w:val="24"/>
                <w:szCs w:val="24"/>
              </w:rPr>
              <w:t>40738</w:t>
            </w:r>
          </w:p>
        </w:tc>
        <w:tc>
          <w:tcPr>
            <w:tcW w:w="1701" w:type="dxa"/>
            <w:tcBorders>
              <w:top w:val="single" w:sz="4" w:space="0" w:color="000000"/>
              <w:left w:val="dotted" w:sz="4" w:space="0" w:color="000000"/>
              <w:bottom w:val="dotted" w:sz="4" w:space="0" w:color="000000"/>
              <w:right w:val="dotted" w:sz="4" w:space="0" w:color="000000"/>
            </w:tcBorders>
            <w:vAlign w:val="center"/>
          </w:tcPr>
          <w:p>
            <w:pPr>
              <w:pStyle w:val="Normal"/>
              <w:tabs>
                <w:tab w:val="clear" w:pos="708"/>
                <w:tab w:val="decimal" w:pos="989" w:leader="none"/>
              </w:tabs>
              <w:spacing w:lineRule="exact" w:line="234"/>
              <w:jc w:val="both"/>
              <w:rPr>
                <w:b/>
                <w:b/>
                <w:color w:val="000000"/>
                <w:sz w:val="24"/>
                <w:szCs w:val="24"/>
              </w:rPr>
            </w:pPr>
            <w:r>
              <w:rPr>
                <w:b/>
                <w:color w:val="000000"/>
                <w:sz w:val="24"/>
                <w:szCs w:val="24"/>
              </w:rPr>
              <w:t>18786</w:t>
            </w:r>
          </w:p>
        </w:tc>
        <w:tc>
          <w:tcPr>
            <w:tcW w:w="1559" w:type="dxa"/>
            <w:tcBorders>
              <w:top w:val="single" w:sz="4" w:space="0" w:color="000000"/>
              <w:left w:val="dotted" w:sz="4" w:space="0" w:color="000000"/>
              <w:bottom w:val="dotted" w:sz="4" w:space="0" w:color="000000"/>
              <w:right w:val="dotted" w:sz="4" w:space="0" w:color="000000"/>
            </w:tcBorders>
            <w:vAlign w:val="center"/>
          </w:tcPr>
          <w:p>
            <w:pPr>
              <w:pStyle w:val="Normal"/>
              <w:tabs>
                <w:tab w:val="clear" w:pos="708"/>
                <w:tab w:val="decimal" w:pos="1016" w:leader="none"/>
              </w:tabs>
              <w:spacing w:lineRule="exact" w:line="234"/>
              <w:jc w:val="both"/>
              <w:rPr>
                <w:b/>
                <w:b/>
                <w:color w:val="000000"/>
                <w:sz w:val="24"/>
                <w:szCs w:val="24"/>
              </w:rPr>
            </w:pPr>
            <w:r>
              <w:rPr>
                <w:b/>
                <w:color w:val="000000"/>
                <w:sz w:val="24"/>
                <w:szCs w:val="24"/>
              </w:rPr>
              <w:t>21952</w:t>
            </w:r>
          </w:p>
        </w:tc>
        <w:tc>
          <w:tcPr>
            <w:tcW w:w="1418" w:type="dxa"/>
            <w:tcBorders>
              <w:top w:val="single" w:sz="4" w:space="0" w:color="000000"/>
              <w:left w:val="dotted" w:sz="4" w:space="0" w:color="000000"/>
              <w:bottom w:val="dotted" w:sz="4" w:space="0" w:color="000000"/>
              <w:right w:val="double" w:sz="4" w:space="0" w:color="000000"/>
            </w:tcBorders>
            <w:vAlign w:val="center"/>
          </w:tcPr>
          <w:p>
            <w:pPr>
              <w:pStyle w:val="Normal"/>
              <w:tabs>
                <w:tab w:val="clear" w:pos="708"/>
                <w:tab w:val="decimal" w:pos="917" w:leader="none"/>
              </w:tabs>
              <w:spacing w:lineRule="exact" w:line="234"/>
              <w:jc w:val="both"/>
              <w:rPr>
                <w:b/>
                <w:b/>
                <w:sz w:val="24"/>
                <w:szCs w:val="24"/>
              </w:rPr>
            </w:pPr>
            <w:r>
              <w:rPr>
                <w:b/>
                <w:sz w:val="24"/>
                <w:szCs w:val="24"/>
              </w:rPr>
              <w:t>117</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ind w:firstLine="113"/>
              <w:rPr>
                <w:sz w:val="24"/>
                <w:szCs w:val="24"/>
              </w:rPr>
            </w:pPr>
            <w:r>
              <w:rPr>
                <w:sz w:val="24"/>
                <w:szCs w:val="24"/>
              </w:rPr>
              <w:t>в т.ч. в возрасте, лет:</w:t>
            </w:r>
          </w:p>
        </w:tc>
        <w:tc>
          <w:tcPr>
            <w:tcW w:w="1701"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914" w:leader="none"/>
              </w:tabs>
              <w:snapToGrid w:val="false"/>
              <w:spacing w:lineRule="exact" w:line="234"/>
              <w:jc w:val="both"/>
              <w:rPr>
                <w:color w:val="000000"/>
                <w:sz w:val="24"/>
                <w:szCs w:val="24"/>
              </w:rPr>
            </w:pPr>
            <w:r>
              <w:rPr>
                <w:color w:val="000000"/>
                <w:sz w:val="24"/>
                <w:szCs w:val="24"/>
              </w:rPr>
            </w:r>
          </w:p>
        </w:tc>
        <w:tc>
          <w:tcPr>
            <w:tcW w:w="1701"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989" w:leader="none"/>
              </w:tabs>
              <w:snapToGrid w:val="false"/>
              <w:spacing w:lineRule="exact" w:line="234"/>
              <w:jc w:val="both"/>
              <w:rPr>
                <w:color w:val="000000"/>
                <w:sz w:val="24"/>
                <w:szCs w:val="24"/>
              </w:rPr>
            </w:pPr>
            <w:r>
              <w:rPr>
                <w:color w:val="000000"/>
                <w:sz w:val="24"/>
                <w:szCs w:val="24"/>
              </w:rPr>
            </w:r>
          </w:p>
        </w:tc>
        <w:tc>
          <w:tcPr>
            <w:tcW w:w="1559"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1016" w:leader="none"/>
              </w:tabs>
              <w:snapToGrid w:val="false"/>
              <w:spacing w:lineRule="exact" w:line="234"/>
              <w:jc w:val="both"/>
              <w:rPr>
                <w:color w:val="000000"/>
                <w:sz w:val="24"/>
                <w:szCs w:val="24"/>
              </w:rPr>
            </w:pPr>
            <w:r>
              <w:rPr>
                <w:color w:val="000000"/>
                <w:sz w:val="24"/>
                <w:szCs w:val="24"/>
              </w:rPr>
            </w:r>
          </w:p>
        </w:tc>
        <w:tc>
          <w:tcPr>
            <w:tcW w:w="1418" w:type="dxa"/>
            <w:tcBorders>
              <w:top w:val="dotted" w:sz="4" w:space="0" w:color="000000"/>
              <w:left w:val="dotted" w:sz="4" w:space="0" w:color="000000"/>
              <w:bottom w:val="dotted" w:sz="4" w:space="0" w:color="000000"/>
              <w:right w:val="double" w:sz="4" w:space="0" w:color="000000"/>
            </w:tcBorders>
            <w:vAlign w:val="center"/>
          </w:tcPr>
          <w:p>
            <w:pPr>
              <w:pStyle w:val="Normal"/>
              <w:tabs>
                <w:tab w:val="clear" w:pos="708"/>
                <w:tab w:val="decimal" w:pos="917" w:leader="none"/>
              </w:tabs>
              <w:snapToGrid w:val="false"/>
              <w:spacing w:lineRule="exact" w:line="234"/>
              <w:jc w:val="both"/>
              <w:rPr>
                <w:color w:val="000000"/>
                <w:sz w:val="24"/>
                <w:szCs w:val="24"/>
              </w:rPr>
            </w:pPr>
            <w:r>
              <w:rPr>
                <w:color w:val="000000"/>
                <w:sz w:val="24"/>
                <w:szCs w:val="24"/>
              </w:rPr>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до 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369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193</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176</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91</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403</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193</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210</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109</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430</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214</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216</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101</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3</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398</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190</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208</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109</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530</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275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255</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93</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0-4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2130</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1065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1065</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100</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5</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501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271</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230</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85</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6</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616</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309</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307</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99</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7</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650</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308</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342</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111</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8</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672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321</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351</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109</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721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366</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355</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97</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5-9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3160</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1575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1585</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101</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10</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784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403</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381</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95</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11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719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375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344</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92</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12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581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309</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272</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88</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13</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612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335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277</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83</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14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607</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324</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283</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87</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10-14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3303</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1746</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1557</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89</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15</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587</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283</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304</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107</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16</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478</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242</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236</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98</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17</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506</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275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231</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84</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18</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449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237</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212</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89</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19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383</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198</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185</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93</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15-19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2403</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1235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1168</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95</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20-24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1906</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939</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967</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103</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25-29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1826</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915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911</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100</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Xl22"/>
              <w:spacing w:lineRule="exact" w:line="234" w:before="0" w:after="0"/>
              <w:rPr>
                <w:rFonts w:ascii="Times New Roman" w:hAnsi="Times New Roman" w:eastAsia="Times New Roman" w:cs="Times New Roman"/>
                <w:b/>
                <w:b/>
              </w:rPr>
            </w:pPr>
            <w:r>
              <w:rPr>
                <w:rFonts w:eastAsia="Times New Roman" w:cs="Times New Roman" w:ascii="Times New Roman" w:hAnsi="Times New Roman"/>
                <w:b/>
              </w:rPr>
              <w:t>30-34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2591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1334</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1257</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94</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35-39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3085</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1595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1490</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93</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40-44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3003</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1411</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1592</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113</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45-49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2744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1225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1519</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124</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50</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535</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236</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299</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127</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51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489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220</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269</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122</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52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498</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247</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251</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102</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53</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407</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167</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240</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144</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54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463</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207</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256</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124</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50-54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2392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1077</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1315</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122</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55</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402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184</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218</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118</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56</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432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214</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218</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102</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57</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477</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208</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269</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129</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58</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462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206</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256</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124</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59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522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233</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289</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124</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55-59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2295</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1045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1250</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120</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60</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592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225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367</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163</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61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626</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263</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363</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138</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62</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705</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299</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406</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136</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63</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631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267</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364</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136</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sz w:val="24"/>
                <w:szCs w:val="24"/>
              </w:rPr>
            </w:pPr>
            <w:r>
              <w:rPr>
                <w:sz w:val="24"/>
                <w:szCs w:val="24"/>
              </w:rPr>
              <w:t>64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color w:val="000000"/>
                <w:sz w:val="24"/>
                <w:szCs w:val="24"/>
              </w:rPr>
            </w:pPr>
            <w:r>
              <w:rPr>
                <w:color w:val="000000"/>
                <w:sz w:val="24"/>
                <w:szCs w:val="24"/>
              </w:rPr>
              <w:t>610</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color w:val="000000"/>
                <w:sz w:val="24"/>
                <w:szCs w:val="24"/>
              </w:rPr>
            </w:pPr>
            <w:r>
              <w:rPr>
                <w:color w:val="000000"/>
                <w:sz w:val="24"/>
                <w:szCs w:val="24"/>
              </w:rPr>
              <w:t>278</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color w:val="000000"/>
                <w:sz w:val="24"/>
                <w:szCs w:val="24"/>
              </w:rPr>
            </w:pPr>
            <w:r>
              <w:rPr>
                <w:color w:val="000000"/>
                <w:sz w:val="24"/>
                <w:szCs w:val="24"/>
              </w:rPr>
              <w:t>332</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sz w:val="24"/>
                <w:szCs w:val="24"/>
              </w:rPr>
            </w:pPr>
            <w:r>
              <w:rPr>
                <w:sz w:val="24"/>
                <w:szCs w:val="24"/>
              </w:rPr>
              <w:t>119</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60-64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3164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1332</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1832</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138</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34"/>
              <w:jc w:val="center"/>
              <w:rPr>
                <w:b/>
                <w:b/>
                <w:sz w:val="24"/>
                <w:szCs w:val="24"/>
              </w:rPr>
            </w:pPr>
            <w:r>
              <w:rPr>
                <w:b/>
                <w:sz w:val="24"/>
                <w:szCs w:val="24"/>
              </w:rPr>
              <w:t>65-69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2740</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1069</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1671</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156</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Xl22"/>
              <w:spacing w:lineRule="exact" w:line="234" w:before="0" w:after="0"/>
              <w:rPr>
                <w:rFonts w:ascii="Times New Roman" w:hAnsi="Times New Roman" w:eastAsia="Times New Roman" w:cs="Times New Roman"/>
                <w:b/>
                <w:b/>
              </w:rPr>
            </w:pPr>
            <w:r>
              <w:rPr>
                <w:rFonts w:eastAsia="Times New Roman" w:cs="Times New Roman" w:ascii="Times New Roman" w:hAnsi="Times New Roman"/>
                <w:b/>
              </w:rPr>
              <w:t>70-74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1964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667</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1297</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194</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Xl22"/>
              <w:spacing w:lineRule="exact" w:line="234" w:before="0" w:after="0"/>
              <w:rPr>
                <w:rFonts w:ascii="Times New Roman" w:hAnsi="Times New Roman" w:eastAsia="Times New Roman" w:cs="Times New Roman"/>
                <w:b/>
                <w:b/>
              </w:rPr>
            </w:pPr>
            <w:r>
              <w:rPr>
                <w:rFonts w:eastAsia="Times New Roman" w:cs="Times New Roman" w:ascii="Times New Roman" w:hAnsi="Times New Roman"/>
                <w:b/>
              </w:rPr>
              <w:t>75-79</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691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203</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488</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240</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Xl22"/>
              <w:spacing w:lineRule="exact" w:line="234" w:before="0" w:after="0"/>
              <w:rPr>
                <w:rFonts w:ascii="Times New Roman" w:hAnsi="Times New Roman" w:eastAsia="Times New Roman" w:cs="Times New Roman"/>
                <w:b/>
                <w:b/>
              </w:rPr>
            </w:pPr>
            <w:r>
              <w:rPr>
                <w:rFonts w:eastAsia="Times New Roman" w:cs="Times New Roman" w:ascii="Times New Roman" w:hAnsi="Times New Roman"/>
                <w:b/>
              </w:rPr>
              <w:t>80-84</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740</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205</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535</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261</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Xl22"/>
              <w:spacing w:lineRule="exact" w:line="234" w:before="0" w:after="0"/>
              <w:rPr>
                <w:rFonts w:ascii="Times New Roman" w:hAnsi="Times New Roman" w:eastAsia="Times New Roman" w:cs="Times New Roman"/>
                <w:b/>
                <w:b/>
              </w:rPr>
            </w:pPr>
            <w:r>
              <w:rPr>
                <w:rFonts w:eastAsia="Times New Roman" w:cs="Times New Roman" w:ascii="Times New Roman" w:hAnsi="Times New Roman"/>
                <w:b/>
              </w:rPr>
              <w:t>85 и более</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pacing w:lineRule="exact" w:line="234"/>
              <w:jc w:val="both"/>
              <w:rPr>
                <w:b/>
                <w:b/>
                <w:color w:val="000000"/>
                <w:sz w:val="24"/>
                <w:szCs w:val="24"/>
              </w:rPr>
            </w:pPr>
            <w:r>
              <w:rPr>
                <w:b/>
                <w:color w:val="000000"/>
                <w:sz w:val="24"/>
                <w:szCs w:val="24"/>
              </w:rPr>
              <w:t>601</w:t>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pacing w:lineRule="exact" w:line="234"/>
              <w:jc w:val="both"/>
              <w:rPr>
                <w:b/>
                <w:b/>
                <w:color w:val="000000"/>
                <w:sz w:val="24"/>
                <w:szCs w:val="24"/>
              </w:rPr>
            </w:pPr>
            <w:r>
              <w:rPr>
                <w:b/>
                <w:color w:val="000000"/>
                <w:sz w:val="24"/>
                <w:szCs w:val="24"/>
              </w:rPr>
              <w:t>148</w:t>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pacing w:lineRule="exact" w:line="234"/>
              <w:jc w:val="both"/>
              <w:rPr>
                <w:b/>
                <w:b/>
                <w:color w:val="000000"/>
                <w:sz w:val="24"/>
                <w:szCs w:val="24"/>
              </w:rPr>
            </w:pPr>
            <w:r>
              <w:rPr>
                <w:b/>
                <w:color w:val="000000"/>
                <w:sz w:val="24"/>
                <w:szCs w:val="24"/>
              </w:rPr>
              <w:t>453</w:t>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pacing w:lineRule="exact" w:line="234"/>
              <w:jc w:val="both"/>
              <w:rPr>
                <w:b/>
                <w:b/>
                <w:sz w:val="24"/>
                <w:szCs w:val="24"/>
              </w:rPr>
            </w:pPr>
            <w:r>
              <w:rPr>
                <w:b/>
                <w:sz w:val="24"/>
                <w:szCs w:val="24"/>
              </w:rPr>
              <w:t>306</w:t>
            </w:r>
          </w:p>
        </w:tc>
      </w:tr>
      <w:tr>
        <w:trPr/>
        <w:tc>
          <w:tcPr>
            <w:tcW w:w="2892" w:type="dxa"/>
            <w:tcBorders>
              <w:top w:val="dotted" w:sz="4" w:space="0" w:color="000000"/>
              <w:left w:val="double" w:sz="4" w:space="0" w:color="000000"/>
              <w:bottom w:val="dotted" w:sz="4" w:space="0" w:color="000000"/>
              <w:right w:val="dotted" w:sz="4" w:space="0" w:color="000000"/>
            </w:tcBorders>
            <w:vAlign w:val="center"/>
          </w:tcPr>
          <w:p>
            <w:pPr>
              <w:pStyle w:val="Xl22"/>
              <w:snapToGrid w:val="false"/>
              <w:spacing w:lineRule="exact" w:line="234" w:before="0" w:after="0"/>
              <w:rPr>
                <w:rFonts w:ascii="Times New Roman" w:hAnsi="Times New Roman" w:eastAsia="Times New Roman" w:cs="Times New Roman"/>
                <w:b/>
                <w:b/>
                <w:sz w:val="24"/>
                <w:szCs w:val="24"/>
              </w:rPr>
            </w:pPr>
            <w:r>
              <w:rPr>
                <w:rFonts w:eastAsia="Times New Roman" w:cs="Times New Roman" w:ascii="Times New Roman" w:hAnsi="Times New Roman"/>
                <w:b/>
                <w:sz w:val="24"/>
                <w:szCs w:val="24"/>
              </w:rPr>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napToGrid w:val="false"/>
              <w:spacing w:lineRule="exact" w:line="234"/>
              <w:jc w:val="both"/>
              <w:rPr>
                <w:rFonts w:ascii="Times New Roman" w:hAnsi="Times New Roman" w:eastAsia="Times New Roman" w:cs="Times New Roman"/>
                <w:b/>
                <w:b/>
                <w:color w:val="000000"/>
                <w:sz w:val="24"/>
                <w:szCs w:val="24"/>
              </w:rPr>
            </w:pPr>
            <w:r>
              <w:rPr>
                <w:rFonts w:eastAsia="Times New Roman" w:cs="Times New Roman" w:ascii="Times New Roman" w:hAnsi="Times New Roman"/>
                <w:b/>
                <w:color w:val="000000"/>
                <w:sz w:val="24"/>
                <w:szCs w:val="24"/>
              </w:rPr>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napToGrid w:val="false"/>
              <w:spacing w:lineRule="exact" w:line="234"/>
              <w:jc w:val="both"/>
              <w:rPr>
                <w:b/>
                <w:b/>
                <w:color w:val="000000"/>
                <w:sz w:val="24"/>
                <w:szCs w:val="24"/>
              </w:rPr>
            </w:pPr>
            <w:r>
              <w:rPr>
                <w:b/>
                <w:color w:val="000000"/>
                <w:sz w:val="24"/>
                <w:szCs w:val="24"/>
              </w:rPr>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napToGrid w:val="false"/>
              <w:spacing w:lineRule="exact" w:line="234"/>
              <w:jc w:val="both"/>
              <w:rPr>
                <w:b/>
                <w:b/>
                <w:color w:val="000000"/>
                <w:sz w:val="24"/>
                <w:szCs w:val="24"/>
              </w:rPr>
            </w:pPr>
            <w:r>
              <w:rPr>
                <w:b/>
                <w:color w:val="000000"/>
                <w:sz w:val="24"/>
                <w:szCs w:val="24"/>
              </w:rPr>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napToGrid w:val="false"/>
              <w:spacing w:lineRule="exact" w:line="234"/>
              <w:jc w:val="both"/>
              <w:rPr>
                <w:b/>
                <w:b/>
                <w:color w:val="000000"/>
                <w:sz w:val="24"/>
                <w:szCs w:val="24"/>
              </w:rPr>
            </w:pPr>
            <w:r>
              <w:rPr>
                <w:b/>
                <w:color w:val="000000"/>
                <w:sz w:val="24"/>
                <w:szCs w:val="24"/>
              </w:rPr>
            </w:r>
          </w:p>
        </w:tc>
      </w:tr>
      <w:tr>
        <w:trPr>
          <w:trHeight w:val="172" w:hRule="atLeast"/>
        </w:trPr>
        <w:tc>
          <w:tcPr>
            <w:tcW w:w="2892" w:type="dxa"/>
            <w:tcBorders>
              <w:top w:val="dotted" w:sz="4" w:space="0" w:color="000000"/>
              <w:left w:val="double" w:sz="4" w:space="0" w:color="000000"/>
              <w:bottom w:val="dotted" w:sz="4" w:space="0" w:color="000000"/>
              <w:right w:val="dotted" w:sz="4" w:space="0" w:color="000000"/>
            </w:tcBorders>
            <w:vAlign w:val="center"/>
          </w:tcPr>
          <w:p>
            <w:pPr>
              <w:pStyle w:val="Xl22"/>
              <w:snapToGrid w:val="false"/>
              <w:spacing w:lineRule="exact" w:line="234" w:before="0" w:after="0"/>
              <w:rPr>
                <w:rFonts w:ascii="Times New Roman" w:hAnsi="Times New Roman" w:eastAsia="Times New Roman" w:cs="Times New Roman"/>
                <w:b/>
                <w:b/>
                <w:color w:val="000000"/>
                <w:sz w:val="24"/>
                <w:szCs w:val="24"/>
              </w:rPr>
            </w:pPr>
            <w:r>
              <w:rPr>
                <w:rFonts w:eastAsia="Times New Roman" w:cs="Times New Roman" w:ascii="Times New Roman" w:hAnsi="Times New Roman"/>
                <w:b/>
                <w:color w:val="000000"/>
                <w:sz w:val="24"/>
                <w:szCs w:val="24"/>
              </w:rPr>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14" w:leader="none"/>
              </w:tabs>
              <w:snapToGrid w:val="false"/>
              <w:spacing w:lineRule="exact" w:line="234"/>
              <w:jc w:val="both"/>
              <w:rPr>
                <w:rFonts w:ascii="Times New Roman" w:hAnsi="Times New Roman" w:eastAsia="Times New Roman" w:cs="Times New Roman"/>
                <w:b/>
                <w:b/>
                <w:color w:val="000000"/>
                <w:sz w:val="24"/>
                <w:szCs w:val="24"/>
              </w:rPr>
            </w:pPr>
            <w:r>
              <w:rPr>
                <w:rFonts w:eastAsia="Times New Roman" w:cs="Times New Roman" w:ascii="Times New Roman" w:hAnsi="Times New Roman"/>
                <w:b/>
                <w:color w:val="000000"/>
                <w:sz w:val="24"/>
                <w:szCs w:val="24"/>
              </w:rPr>
            </w:r>
          </w:p>
        </w:tc>
        <w:tc>
          <w:tcPr>
            <w:tcW w:w="1701"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989" w:leader="none"/>
              </w:tabs>
              <w:snapToGrid w:val="false"/>
              <w:spacing w:lineRule="exact" w:line="234"/>
              <w:jc w:val="both"/>
              <w:rPr>
                <w:b/>
                <w:b/>
                <w:color w:val="000000"/>
                <w:sz w:val="24"/>
                <w:szCs w:val="24"/>
              </w:rPr>
            </w:pPr>
            <w:r>
              <w:rPr>
                <w:b/>
                <w:color w:val="000000"/>
                <w:sz w:val="24"/>
                <w:szCs w:val="24"/>
              </w:rPr>
            </w:r>
          </w:p>
        </w:tc>
        <w:tc>
          <w:tcPr>
            <w:tcW w:w="1559"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1016" w:leader="none"/>
              </w:tabs>
              <w:snapToGrid w:val="false"/>
              <w:spacing w:lineRule="exact" w:line="234"/>
              <w:jc w:val="both"/>
              <w:rPr>
                <w:b/>
                <w:b/>
                <w:color w:val="000000"/>
                <w:sz w:val="24"/>
                <w:szCs w:val="24"/>
              </w:rPr>
            </w:pPr>
            <w:r>
              <w:rPr>
                <w:b/>
                <w:color w:val="000000"/>
                <w:sz w:val="24"/>
                <w:szCs w:val="24"/>
              </w:rPr>
            </w:r>
          </w:p>
        </w:tc>
        <w:tc>
          <w:tcPr>
            <w:tcW w:w="1418"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917" w:leader="none"/>
              </w:tabs>
              <w:snapToGrid w:val="false"/>
              <w:spacing w:lineRule="exact" w:line="234"/>
              <w:jc w:val="both"/>
              <w:rPr>
                <w:b/>
                <w:b/>
                <w:color w:val="000000"/>
                <w:sz w:val="24"/>
                <w:szCs w:val="24"/>
              </w:rPr>
            </w:pPr>
            <w:r>
              <w:rPr>
                <w:b/>
                <w:color w:val="000000"/>
                <w:sz w:val="24"/>
                <w:szCs w:val="24"/>
              </w:rPr>
            </w:r>
          </w:p>
        </w:tc>
      </w:tr>
    </w:tbl>
    <w:p>
      <w:pPr>
        <w:pStyle w:val="Normal"/>
        <w:shd w:fill="FFFFFF" w:val="clear"/>
        <w:rPr>
          <w:b/>
          <w:b/>
          <w:bCs/>
        </w:rPr>
      </w:pPr>
      <w:r>
        <w:rPr>
          <w:b/>
          <w:bCs/>
        </w:rPr>
      </w:r>
    </w:p>
    <w:p>
      <w:pPr>
        <w:pStyle w:val="Normal"/>
        <w:shd w:fill="FFFFFF" w:val="clear"/>
        <w:rPr>
          <w:b/>
          <w:b/>
          <w:bCs/>
        </w:rPr>
      </w:pPr>
      <w:r>
        <w:rPr>
          <w:b/>
          <w:bCs/>
        </w:rPr>
      </w:r>
    </w:p>
    <w:p>
      <w:pPr>
        <w:pStyle w:val="ListParagraph"/>
        <w:spacing w:lineRule="auto" w:line="240" w:before="0" w:after="0"/>
        <w:ind w:left="0" w:right="0" w:firstLine="11"/>
        <w:jc w:val="center"/>
        <w:rPr/>
      </w:pPr>
      <w:r>
        <w:rPr>
          <w:rFonts w:cs="Times New Roman" w:ascii="Times New Roman" w:hAnsi="Times New Roman"/>
          <w:b/>
          <w:bCs/>
          <w:sz w:val="28"/>
          <w:szCs w:val="28"/>
        </w:rPr>
        <w:t>4. Анализ смертности населения</w:t>
      </w:r>
      <w:r>
        <w:rPr>
          <w:rFonts w:cs="Times New Roman" w:ascii="Times New Roman" w:hAnsi="Times New Roman"/>
          <w:b/>
          <w:bCs/>
          <w:sz w:val="28"/>
          <w:szCs w:val="28"/>
          <w:lang w:val="ru-RU" w:eastAsia="ru-RU"/>
        </w:rPr>
        <w:t xml:space="preserve"> </w:t>
      </w:r>
      <w:r>
        <w:rPr>
          <w:rFonts w:cs="Times New Roman" w:ascii="Times New Roman" w:hAnsi="Times New Roman"/>
          <w:b/>
          <w:bCs/>
          <w:sz w:val="28"/>
          <w:szCs w:val="28"/>
        </w:rPr>
        <w:t>Топкинского муниципального округа</w:t>
      </w:r>
    </w:p>
    <w:p>
      <w:pPr>
        <w:pStyle w:val="ListParagraph"/>
        <w:spacing w:lineRule="auto" w:line="240" w:before="0" w:after="0"/>
        <w:ind w:left="0" w:right="0" w:hanging="0"/>
        <w:jc w:val="both"/>
        <w:rPr>
          <w:rFonts w:ascii="Times New Roman" w:hAnsi="Times New Roman" w:cs="Times New Roman"/>
          <w:b/>
          <w:b/>
          <w:bCs/>
          <w:sz w:val="28"/>
          <w:szCs w:val="28"/>
          <w:u w:val="single"/>
        </w:rPr>
      </w:pPr>
      <w:r>
        <w:rPr>
          <w:rFonts w:cs="Times New Roman" w:ascii="Times New Roman" w:hAnsi="Times New Roman"/>
          <w:b/>
          <w:bCs/>
          <w:sz w:val="28"/>
          <w:szCs w:val="28"/>
          <w:u w:val="single"/>
        </w:rPr>
      </w:r>
    </w:p>
    <w:p>
      <w:pPr>
        <w:pStyle w:val="ListParagraph"/>
        <w:spacing w:lineRule="auto" w:line="240" w:before="0" w:after="0"/>
        <w:ind w:left="0" w:right="0" w:firstLine="851"/>
        <w:jc w:val="center"/>
        <w:rPr>
          <w:rFonts w:ascii="Times New Roman" w:hAnsi="Times New Roman" w:cs="Times New Roman"/>
          <w:sz w:val="28"/>
          <w:szCs w:val="28"/>
          <w:lang w:eastAsia="ru-RU"/>
        </w:rPr>
      </w:pPr>
      <w:r>
        <w:rPr>
          <w:rFonts w:cs="Times New Roman" w:ascii="Times New Roman" w:hAnsi="Times New Roman"/>
          <w:sz w:val="28"/>
          <w:szCs w:val="28"/>
          <w:lang w:eastAsia="ru-RU"/>
        </w:rPr>
        <w:t>4.1 Общая смертность населения</w:t>
      </w:r>
    </w:p>
    <w:p>
      <w:pPr>
        <w:pStyle w:val="ListParagraph"/>
        <w:spacing w:lineRule="auto" w:line="240" w:before="0" w:after="0"/>
        <w:ind w:left="0" w:right="0" w:firstLine="851"/>
        <w:jc w:val="center"/>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ListParagraph"/>
        <w:spacing w:lineRule="auto" w:line="240" w:before="0" w:after="0"/>
        <w:ind w:left="0" w:right="0" w:firstLine="851"/>
        <w:jc w:val="both"/>
        <w:rPr/>
      </w:pPr>
      <w:r>
        <w:rPr>
          <w:rFonts w:cs="Times New Roman" w:ascii="Times New Roman" w:hAnsi="Times New Roman"/>
          <w:sz w:val="28"/>
          <w:szCs w:val="28"/>
          <w:lang w:eastAsia="ru-RU"/>
        </w:rPr>
        <w:t xml:space="preserve">Коэффициент </w:t>
      </w:r>
      <w:r>
        <w:rPr>
          <w:rFonts w:cs="Times New Roman" w:ascii="Times New Roman" w:hAnsi="Times New Roman"/>
          <w:sz w:val="28"/>
          <w:szCs w:val="28"/>
          <w:lang w:val="ru-RU" w:eastAsia="ru-RU"/>
        </w:rPr>
        <w:t>общей смертности населения</w:t>
      </w:r>
      <w:r>
        <w:rPr>
          <w:rFonts w:cs="Times New Roman" w:ascii="Times New Roman" w:hAnsi="Times New Roman"/>
          <w:sz w:val="28"/>
          <w:szCs w:val="28"/>
        </w:rPr>
        <w:t xml:space="preserve"> Топкинского муниципального округа </w:t>
      </w:r>
      <w:r>
        <w:rPr>
          <w:rFonts w:cs="Times New Roman" w:ascii="Times New Roman" w:hAnsi="Times New Roman"/>
          <w:sz w:val="28"/>
          <w:szCs w:val="28"/>
          <w:lang w:val="ru-RU" w:eastAsia="ru-RU"/>
        </w:rPr>
        <w:t>в 20</w:t>
      </w:r>
      <w:r>
        <w:rPr>
          <w:rFonts w:cs="Times New Roman" w:ascii="Times New Roman" w:hAnsi="Times New Roman"/>
          <w:sz w:val="28"/>
          <w:szCs w:val="28"/>
          <w:lang w:eastAsia="ru-RU"/>
        </w:rPr>
        <w:t>23</w:t>
      </w:r>
      <w:r>
        <w:rPr>
          <w:rFonts w:cs="Times New Roman" w:ascii="Times New Roman" w:hAnsi="Times New Roman"/>
          <w:sz w:val="28"/>
          <w:szCs w:val="28"/>
          <w:lang w:val="ru-RU" w:eastAsia="ru-RU"/>
        </w:rPr>
        <w:t xml:space="preserve"> году </w:t>
      </w:r>
      <w:r>
        <w:rPr>
          <w:rFonts w:cs="Times New Roman" w:ascii="Times New Roman" w:hAnsi="Times New Roman"/>
          <w:sz w:val="28"/>
          <w:szCs w:val="28"/>
          <w:lang w:eastAsia="ru-RU"/>
        </w:rPr>
        <w:t xml:space="preserve">составляет 17,9 (на 1000 человек населения), что на три единицы </w:t>
      </w:r>
      <w:r>
        <w:rPr>
          <w:rFonts w:cs="Times New Roman" w:ascii="Times New Roman" w:hAnsi="Times New Roman"/>
          <w:sz w:val="28"/>
          <w:szCs w:val="28"/>
          <w:lang w:val="ru-RU" w:eastAsia="ru-RU"/>
        </w:rPr>
        <w:t xml:space="preserve">выше </w:t>
      </w:r>
      <w:r>
        <w:rPr>
          <w:rFonts w:cs="Times New Roman" w:ascii="Times New Roman" w:hAnsi="Times New Roman"/>
          <w:sz w:val="28"/>
          <w:szCs w:val="28"/>
          <w:lang w:eastAsia="ru-RU"/>
        </w:rPr>
        <w:t xml:space="preserve">коэффициента </w:t>
      </w:r>
      <w:r>
        <w:rPr>
          <w:rFonts w:cs="Times New Roman" w:ascii="Times New Roman" w:hAnsi="Times New Roman"/>
          <w:sz w:val="28"/>
          <w:szCs w:val="28"/>
          <w:lang w:val="ru-RU" w:eastAsia="ru-RU"/>
        </w:rPr>
        <w:t xml:space="preserve">смертности по Кемеровской области </w:t>
      </w:r>
      <w:r>
        <w:rPr>
          <w:rFonts w:cs="Times New Roman" w:ascii="Times New Roman" w:hAnsi="Times New Roman"/>
          <w:sz w:val="28"/>
          <w:szCs w:val="28"/>
        </w:rPr>
        <w:t>– Кузбассу</w:t>
      </w:r>
      <w:r>
        <w:rPr>
          <w:rFonts w:cs="Times New Roman" w:ascii="Times New Roman" w:hAnsi="Times New Roman"/>
          <w:sz w:val="28"/>
          <w:szCs w:val="28"/>
          <w:lang w:val="ru-RU" w:eastAsia="ru-RU"/>
        </w:rPr>
        <w:t xml:space="preserve"> </w:t>
      </w:r>
      <w:r>
        <w:rPr>
          <w:rFonts w:cs="Times New Roman" w:ascii="Times New Roman" w:hAnsi="Times New Roman"/>
          <w:sz w:val="28"/>
          <w:szCs w:val="28"/>
          <w:lang w:eastAsia="ru-RU"/>
        </w:rPr>
        <w:t>-</w:t>
      </w:r>
      <w:r>
        <w:rPr>
          <w:rFonts w:cs="Times New Roman" w:ascii="Times New Roman" w:hAnsi="Times New Roman"/>
          <w:sz w:val="28"/>
          <w:szCs w:val="28"/>
          <w:lang w:val="ru-RU" w:eastAsia="ru-RU"/>
        </w:rPr>
        <w:t xml:space="preserve"> 14,</w:t>
      </w:r>
      <w:r>
        <w:rPr>
          <w:rFonts w:cs="Times New Roman" w:ascii="Times New Roman" w:hAnsi="Times New Roman"/>
          <w:sz w:val="28"/>
          <w:szCs w:val="28"/>
          <w:lang w:eastAsia="ru-RU"/>
        </w:rPr>
        <w:t>9</w:t>
      </w:r>
      <w:r>
        <w:rPr>
          <w:rFonts w:cs="Times New Roman" w:ascii="Times New Roman" w:hAnsi="Times New Roman"/>
          <w:sz w:val="28"/>
          <w:szCs w:val="28"/>
          <w:lang w:val="ru-RU" w:eastAsia="ru-RU"/>
        </w:rPr>
        <w:t>.</w:t>
      </w:r>
    </w:p>
    <w:p>
      <w:pPr>
        <w:pStyle w:val="ListParagraph"/>
        <w:spacing w:lineRule="auto" w:line="240" w:before="0" w:after="0"/>
        <w:ind w:left="0" w:right="0" w:firstLine="851"/>
        <w:jc w:val="both"/>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ListParagraph"/>
        <w:spacing w:lineRule="auto" w:line="240" w:before="0" w:after="0"/>
        <w:ind w:left="0" w:right="0" w:hanging="0"/>
        <w:jc w:val="both"/>
        <w:rPr>
          <w:rFonts w:ascii="Times New Roman" w:hAnsi="Times New Roman" w:cs="Times New Roman"/>
          <w:i/>
          <w:i/>
          <w:iCs/>
          <w:sz w:val="28"/>
          <w:szCs w:val="28"/>
        </w:rPr>
      </w:pPr>
      <w:r>
        <w:rPr>
          <w:rFonts w:cs="Times New Roman" w:ascii="Times New Roman" w:hAnsi="Times New Roman"/>
          <w:i/>
          <w:iCs/>
          <w:sz w:val="28"/>
          <w:szCs w:val="28"/>
        </w:rPr>
        <w:t>Таблица 4. Естественный прирост (убыли) населения 2020-2022 гг.</w:t>
      </w:r>
    </w:p>
    <w:tbl>
      <w:tblPr>
        <w:tblW w:w="8755" w:type="dxa"/>
        <w:jc w:val="left"/>
        <w:tblInd w:w="-113" w:type="dxa"/>
        <w:tblLayout w:type="fixed"/>
        <w:tblCellMar>
          <w:top w:w="0" w:type="dxa"/>
          <w:left w:w="108" w:type="dxa"/>
          <w:bottom w:w="0" w:type="dxa"/>
          <w:right w:w="108" w:type="dxa"/>
        </w:tblCellMar>
      </w:tblPr>
      <w:tblGrid>
        <w:gridCol w:w="3227"/>
        <w:gridCol w:w="1843"/>
        <w:gridCol w:w="1842"/>
        <w:gridCol w:w="1843"/>
      </w:tblGrid>
      <w:tr>
        <w:trPr/>
        <w:tc>
          <w:tcPr>
            <w:tcW w:w="3227"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both"/>
              <w:rPr>
                <w:rFonts w:ascii="Times New Roman" w:hAnsi="Times New Roman" w:cs="Times New Roman"/>
                <w:sz w:val="24"/>
                <w:szCs w:val="24"/>
              </w:rPr>
            </w:pPr>
            <w:r>
              <w:rPr>
                <w:rFonts w:cs="Times New Roman" w:ascii="Times New Roman" w:hAnsi="Times New Roman"/>
                <w:sz w:val="24"/>
                <w:szCs w:val="24"/>
              </w:rPr>
              <w:t>Показатель</w:t>
            </w:r>
          </w:p>
        </w:tc>
        <w:tc>
          <w:tcPr>
            <w:tcW w:w="1843"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2020</w:t>
            </w:r>
          </w:p>
        </w:tc>
        <w:tc>
          <w:tcPr>
            <w:tcW w:w="1842"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2021</w:t>
            </w:r>
          </w:p>
        </w:tc>
        <w:tc>
          <w:tcPr>
            <w:tcW w:w="1843"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2022</w:t>
            </w:r>
          </w:p>
        </w:tc>
      </w:tr>
      <w:tr>
        <w:trPr/>
        <w:tc>
          <w:tcPr>
            <w:tcW w:w="3227"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both"/>
              <w:rPr>
                <w:rFonts w:ascii="Times New Roman" w:hAnsi="Times New Roman" w:cs="Times New Roman"/>
                <w:sz w:val="24"/>
                <w:szCs w:val="24"/>
              </w:rPr>
            </w:pPr>
            <w:r>
              <w:rPr>
                <w:rFonts w:cs="Times New Roman" w:ascii="Times New Roman" w:hAnsi="Times New Roman"/>
                <w:sz w:val="24"/>
                <w:szCs w:val="24"/>
              </w:rPr>
              <w:t xml:space="preserve">Кемеровская область – Кузбасс </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-20345</w:t>
            </w:r>
          </w:p>
        </w:tc>
        <w:tc>
          <w:tcPr>
            <w:tcW w:w="1842"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-25987</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-18600</w:t>
            </w:r>
          </w:p>
        </w:tc>
      </w:tr>
      <w:tr>
        <w:trPr/>
        <w:tc>
          <w:tcPr>
            <w:tcW w:w="3227" w:type="dxa"/>
            <w:tcBorders>
              <w:top w:val="single" w:sz="4" w:space="0" w:color="000000"/>
              <w:left w:val="single" w:sz="4" w:space="0" w:color="000000"/>
              <w:bottom w:val="single" w:sz="4" w:space="0" w:color="000000"/>
              <w:right w:val="single" w:sz="4" w:space="0" w:color="000000"/>
            </w:tcBorders>
          </w:tcPr>
          <w:p>
            <w:pPr>
              <w:pStyle w:val="ListParagraph"/>
              <w:spacing w:lineRule="auto" w:line="240" w:before="0" w:after="0"/>
              <w:ind w:left="0" w:right="0" w:hanging="0"/>
              <w:jc w:val="both"/>
              <w:rPr>
                <w:rFonts w:ascii="Times New Roman" w:hAnsi="Times New Roman" w:cs="Times New Roman"/>
                <w:sz w:val="24"/>
                <w:szCs w:val="24"/>
              </w:rPr>
            </w:pPr>
            <w:r>
              <w:rPr>
                <w:rFonts w:cs="Times New Roman" w:ascii="Times New Roman" w:hAnsi="Times New Roman"/>
                <w:sz w:val="24"/>
                <w:szCs w:val="24"/>
              </w:rPr>
              <w:t>Топкинский муниципальный округ</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-330</w:t>
            </w:r>
          </w:p>
        </w:tc>
        <w:tc>
          <w:tcPr>
            <w:tcW w:w="1842"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-458</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ListParagraph"/>
              <w:spacing w:lineRule="auto" w:line="240" w:before="0" w:after="0"/>
              <w:ind w:left="0" w:right="0" w:hanging="0"/>
              <w:jc w:val="center"/>
              <w:rPr>
                <w:rFonts w:ascii="Times New Roman" w:hAnsi="Times New Roman" w:cs="Times New Roman"/>
                <w:sz w:val="24"/>
                <w:szCs w:val="24"/>
              </w:rPr>
            </w:pPr>
            <w:r>
              <w:rPr>
                <w:rFonts w:cs="Times New Roman" w:ascii="Times New Roman" w:hAnsi="Times New Roman"/>
                <w:sz w:val="24"/>
                <w:szCs w:val="24"/>
              </w:rPr>
              <w:t>-369</w:t>
            </w:r>
          </w:p>
        </w:tc>
      </w:tr>
    </w:tbl>
    <w:p>
      <w:pPr>
        <w:pStyle w:val="Normal"/>
        <w:jc w:val="both"/>
        <w:rPr/>
      </w:pPr>
      <w:r>
        <w:rPr/>
      </w:r>
    </w:p>
    <w:p>
      <w:pPr>
        <w:pStyle w:val="Normal"/>
        <w:keepNext w:val="true"/>
        <w:numPr>
          <w:ilvl w:val="0"/>
          <w:numId w:val="0"/>
        </w:numPr>
        <w:suppressAutoHyphens w:val="false"/>
        <w:jc w:val="both"/>
        <w:outlineLvl w:val="2"/>
        <w:rPr/>
      </w:pPr>
      <w:r>
        <w:rPr>
          <w:rFonts w:eastAsia="Batang;바탕"/>
          <w:i/>
          <w:iCs/>
          <w:sz w:val="28"/>
          <w:szCs w:val="28"/>
          <w:lang w:eastAsia="ru-RU"/>
        </w:rPr>
        <w:t xml:space="preserve">Таблица 5. </w:t>
      </w:r>
      <w:r>
        <w:rPr>
          <w:i/>
          <w:iCs/>
          <w:sz w:val="28"/>
          <w:szCs w:val="28"/>
          <w:lang w:eastAsia="ru-RU"/>
        </w:rPr>
        <w:t xml:space="preserve">Коэффициенты </w:t>
      </w:r>
      <w:r>
        <w:rPr>
          <w:rFonts w:eastAsia="Calibri"/>
          <w:i/>
          <w:iCs/>
          <w:sz w:val="28"/>
          <w:szCs w:val="28"/>
          <w:lang w:eastAsia="ru-RU"/>
        </w:rPr>
        <w:t xml:space="preserve">смертности </w:t>
      </w:r>
      <w:r>
        <w:rPr>
          <w:i/>
          <w:iCs/>
          <w:sz w:val="28"/>
          <w:szCs w:val="28"/>
        </w:rPr>
        <w:t xml:space="preserve">2018-2022 г.г. (на 1000 чел.) </w:t>
      </w:r>
    </w:p>
    <w:tbl>
      <w:tblPr>
        <w:tblW w:w="9073" w:type="dxa"/>
        <w:jc w:val="left"/>
        <w:tblInd w:w="-147" w:type="dxa"/>
        <w:tblLayout w:type="fixed"/>
        <w:tblCellMar>
          <w:top w:w="0" w:type="dxa"/>
          <w:left w:w="57" w:type="dxa"/>
          <w:bottom w:w="0" w:type="dxa"/>
          <w:right w:w="57" w:type="dxa"/>
        </w:tblCellMar>
      </w:tblPr>
      <w:tblGrid>
        <w:gridCol w:w="3386"/>
        <w:gridCol w:w="853"/>
        <w:gridCol w:w="853"/>
        <w:gridCol w:w="853"/>
        <w:gridCol w:w="853"/>
        <w:gridCol w:w="853"/>
        <w:gridCol w:w="1422"/>
      </w:tblGrid>
      <w:tr>
        <w:trPr>
          <w:trHeight w:val="399" w:hRule="atLeast"/>
        </w:trPr>
        <w:tc>
          <w:tcPr>
            <w:tcW w:w="338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spacing w:lineRule="auto" w:line="276" w:before="70" w:after="0"/>
              <w:jc w:val="center"/>
              <w:rPr>
                <w:rFonts w:eastAsia="Calibri"/>
                <w:sz w:val="24"/>
                <w:szCs w:val="24"/>
                <w:lang w:eastAsia="en-US"/>
              </w:rPr>
            </w:pPr>
            <w:r>
              <w:rPr>
                <w:rFonts w:eastAsia="Calibri"/>
                <w:sz w:val="24"/>
                <w:szCs w:val="24"/>
                <w:lang w:eastAsia="en-US"/>
              </w:rPr>
            </w:r>
          </w:p>
        </w:tc>
        <w:tc>
          <w:tcPr>
            <w:tcW w:w="5687" w:type="dxa"/>
            <w:gridSpan w:val="6"/>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pacing w:lineRule="auto" w:line="276" w:before="70" w:after="0"/>
              <w:jc w:val="center"/>
              <w:rPr>
                <w:rFonts w:eastAsia="Calibri"/>
                <w:sz w:val="24"/>
                <w:szCs w:val="24"/>
                <w:lang w:eastAsia="en-US"/>
              </w:rPr>
            </w:pPr>
            <w:r>
              <w:rPr>
                <w:rFonts w:eastAsia="Calibri"/>
                <w:sz w:val="24"/>
                <w:szCs w:val="24"/>
                <w:lang w:eastAsia="en-US"/>
              </w:rPr>
              <w:t>Смертность</w:t>
            </w:r>
          </w:p>
        </w:tc>
      </w:tr>
      <w:tr>
        <w:trPr>
          <w:trHeight w:val="766" w:hRule="atLeast"/>
        </w:trPr>
        <w:tc>
          <w:tcPr>
            <w:tcW w:w="338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spacing w:lineRule="auto" w:line="276" w:before="70" w:after="0"/>
              <w:jc w:val="center"/>
              <w:rPr>
                <w:rFonts w:eastAsia="Calibri"/>
                <w:sz w:val="24"/>
                <w:szCs w:val="24"/>
                <w:lang w:eastAsia="en-US"/>
              </w:rPr>
            </w:pPr>
            <w:r>
              <w:rPr>
                <w:rFonts w:eastAsia="Calibri"/>
                <w:sz w:val="24"/>
                <w:szCs w:val="24"/>
                <w:lang w:eastAsia="en-US"/>
              </w:rPr>
            </w:r>
          </w:p>
        </w:tc>
        <w:tc>
          <w:tcPr>
            <w:tcW w:w="853"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pacing w:lineRule="auto" w:line="276" w:before="70" w:after="0"/>
              <w:jc w:val="center"/>
              <w:rPr>
                <w:rFonts w:eastAsia="Calibri"/>
                <w:sz w:val="24"/>
                <w:szCs w:val="24"/>
                <w:lang w:eastAsia="en-US"/>
              </w:rPr>
            </w:pPr>
            <w:r>
              <w:rPr>
                <w:rFonts w:eastAsia="Calibri"/>
                <w:sz w:val="24"/>
                <w:szCs w:val="24"/>
                <w:lang w:eastAsia="en-US"/>
              </w:rPr>
              <w:t>2018</w:t>
            </w:r>
          </w:p>
        </w:tc>
        <w:tc>
          <w:tcPr>
            <w:tcW w:w="853"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pacing w:lineRule="auto" w:line="276" w:before="70" w:after="0"/>
              <w:jc w:val="center"/>
              <w:rPr>
                <w:rFonts w:eastAsia="Calibri"/>
                <w:sz w:val="24"/>
                <w:szCs w:val="24"/>
                <w:lang w:eastAsia="en-US"/>
              </w:rPr>
            </w:pPr>
            <w:r>
              <w:rPr>
                <w:rFonts w:eastAsia="Calibri"/>
                <w:sz w:val="24"/>
                <w:szCs w:val="24"/>
                <w:lang w:eastAsia="en-US"/>
              </w:rPr>
              <w:t>2019</w:t>
            </w:r>
          </w:p>
        </w:tc>
        <w:tc>
          <w:tcPr>
            <w:tcW w:w="853"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pacing w:lineRule="auto" w:line="276" w:before="70" w:after="0"/>
              <w:jc w:val="center"/>
              <w:rPr>
                <w:rFonts w:eastAsia="Calibri"/>
                <w:sz w:val="24"/>
                <w:szCs w:val="24"/>
                <w:lang w:eastAsia="en-US"/>
              </w:rPr>
            </w:pPr>
            <w:r>
              <w:rPr>
                <w:rFonts w:eastAsia="Calibri"/>
                <w:sz w:val="24"/>
                <w:szCs w:val="24"/>
                <w:lang w:eastAsia="en-US"/>
              </w:rPr>
              <w:t>2020</w:t>
            </w:r>
          </w:p>
        </w:tc>
        <w:tc>
          <w:tcPr>
            <w:tcW w:w="853"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pacing w:lineRule="auto" w:line="276" w:before="70" w:after="0"/>
              <w:jc w:val="center"/>
              <w:rPr>
                <w:rFonts w:eastAsia="Calibri"/>
                <w:sz w:val="24"/>
                <w:szCs w:val="24"/>
                <w:lang w:eastAsia="en-US"/>
              </w:rPr>
            </w:pPr>
            <w:r>
              <w:rPr>
                <w:rFonts w:eastAsia="Calibri"/>
                <w:sz w:val="24"/>
                <w:szCs w:val="24"/>
                <w:lang w:eastAsia="en-US"/>
              </w:rPr>
              <w:t>2021</w:t>
            </w:r>
          </w:p>
        </w:tc>
        <w:tc>
          <w:tcPr>
            <w:tcW w:w="853"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pacing w:lineRule="auto" w:line="276" w:before="70" w:after="0"/>
              <w:jc w:val="center"/>
              <w:rPr>
                <w:rFonts w:eastAsia="Calibri"/>
                <w:sz w:val="24"/>
                <w:szCs w:val="24"/>
                <w:lang w:eastAsia="en-US"/>
              </w:rPr>
            </w:pPr>
            <w:r>
              <w:rPr>
                <w:rFonts w:eastAsia="Calibri"/>
                <w:sz w:val="24"/>
                <w:szCs w:val="24"/>
                <w:lang w:eastAsia="en-US"/>
              </w:rPr>
              <w:t>2022</w:t>
            </w:r>
          </w:p>
        </w:tc>
        <w:tc>
          <w:tcPr>
            <w:tcW w:w="1422" w:type="dxa"/>
            <w:tcBorders>
              <w:top w:val="single" w:sz="4" w:space="0" w:color="000000"/>
              <w:left w:val="single" w:sz="4" w:space="0" w:color="000000"/>
              <w:bottom w:val="single" w:sz="4" w:space="0" w:color="000000"/>
              <w:right w:val="single" w:sz="4" w:space="0" w:color="000000"/>
            </w:tcBorders>
          </w:tcPr>
          <w:p>
            <w:pPr>
              <w:pStyle w:val="Normal"/>
              <w:suppressAutoHyphens w:val="false"/>
              <w:spacing w:lineRule="auto" w:line="276" w:before="70" w:after="0"/>
              <w:jc w:val="center"/>
              <w:rPr>
                <w:rFonts w:eastAsia="Calibri"/>
                <w:sz w:val="24"/>
                <w:szCs w:val="24"/>
                <w:lang w:eastAsia="en-US"/>
              </w:rPr>
            </w:pPr>
            <w:r>
              <w:rPr>
                <w:rFonts w:eastAsia="Calibri"/>
                <w:sz w:val="24"/>
                <w:szCs w:val="24"/>
                <w:lang w:eastAsia="en-US"/>
              </w:rPr>
              <w:t>Динамика (%)</w:t>
            </w:r>
          </w:p>
        </w:tc>
      </w:tr>
      <w:tr>
        <w:trPr>
          <w:trHeight w:val="750" w:hRule="atLeast"/>
          <w:cantSplit w:val="true"/>
        </w:trPr>
        <w:tc>
          <w:tcPr>
            <w:tcW w:w="338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pacing w:lineRule="auto" w:line="276" w:before="70" w:after="0"/>
              <w:ind w:left="29" w:right="-57" w:hanging="57"/>
              <w:rPr>
                <w:rFonts w:eastAsia="Calibri"/>
                <w:sz w:val="24"/>
                <w:szCs w:val="24"/>
                <w:lang w:eastAsia="en-US"/>
              </w:rPr>
            </w:pPr>
            <w:r>
              <w:rPr>
                <w:rFonts w:eastAsia="Calibri"/>
                <w:sz w:val="24"/>
                <w:szCs w:val="24"/>
                <w:lang w:eastAsia="en-US"/>
              </w:rPr>
              <w:t>Кемеровская область -</w:t>
              <w:br/>
              <w:t>Кузбасс</w:t>
            </w:r>
          </w:p>
        </w:tc>
        <w:tc>
          <w:tcPr>
            <w:tcW w:w="853" w:type="dxa"/>
            <w:tcBorders>
              <w:top w:val="single" w:sz="4" w:space="0" w:color="000000"/>
              <w:left w:val="single" w:sz="4" w:space="0" w:color="000000"/>
              <w:bottom w:val="single" w:sz="4" w:space="0" w:color="000000"/>
              <w:right w:val="single" w:sz="4" w:space="0" w:color="000000"/>
            </w:tcBorders>
            <w:vAlign w:val="center"/>
          </w:tcPr>
          <w:p>
            <w:pPr>
              <w:pStyle w:val="Normal"/>
              <w:tabs>
                <w:tab w:val="clear" w:pos="708"/>
                <w:tab w:val="decimal" w:pos="397" w:leader="none"/>
              </w:tabs>
              <w:suppressAutoHyphens w:val="false"/>
              <w:spacing w:lineRule="auto" w:line="276" w:before="70" w:after="0"/>
              <w:rPr>
                <w:rFonts w:eastAsia="Calibri"/>
                <w:sz w:val="24"/>
                <w:szCs w:val="24"/>
                <w:lang w:eastAsia="en-US"/>
              </w:rPr>
            </w:pPr>
            <w:r>
              <w:rPr>
                <w:rFonts w:eastAsia="Calibri"/>
                <w:sz w:val="24"/>
                <w:szCs w:val="24"/>
                <w:lang w:eastAsia="en-US"/>
              </w:rPr>
              <w:t>14,4</w:t>
            </w:r>
          </w:p>
        </w:tc>
        <w:tc>
          <w:tcPr>
            <w:tcW w:w="8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397" w:leader="none"/>
              </w:tabs>
              <w:suppressAutoHyphens w:val="false"/>
              <w:spacing w:lineRule="auto" w:line="276" w:before="70" w:after="0"/>
              <w:rPr>
                <w:rFonts w:eastAsia="Calibri"/>
                <w:sz w:val="24"/>
                <w:szCs w:val="24"/>
                <w:lang w:eastAsia="en-US"/>
              </w:rPr>
            </w:pPr>
            <w:r>
              <w:rPr>
                <w:rFonts w:eastAsia="Calibri"/>
                <w:sz w:val="24"/>
                <w:szCs w:val="24"/>
                <w:lang w:eastAsia="en-US"/>
              </w:rPr>
              <w:t>14,2</w:t>
            </w:r>
          </w:p>
        </w:tc>
        <w:tc>
          <w:tcPr>
            <w:tcW w:w="8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397" w:leader="none"/>
              </w:tabs>
              <w:suppressAutoHyphens w:val="false"/>
              <w:spacing w:lineRule="auto" w:line="276" w:before="70" w:after="0"/>
              <w:rPr>
                <w:rFonts w:eastAsia="Calibri"/>
                <w:sz w:val="24"/>
                <w:szCs w:val="24"/>
                <w:lang w:eastAsia="en-US"/>
              </w:rPr>
            </w:pPr>
            <w:r>
              <w:rPr>
                <w:rFonts w:eastAsia="Calibri"/>
                <w:sz w:val="24"/>
                <w:szCs w:val="24"/>
                <w:lang w:eastAsia="en-US"/>
              </w:rPr>
              <w:t>16,2</w:t>
            </w:r>
          </w:p>
        </w:tc>
        <w:tc>
          <w:tcPr>
            <w:tcW w:w="8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397" w:leader="none"/>
              </w:tabs>
              <w:suppressAutoHyphens w:val="false"/>
              <w:spacing w:lineRule="auto" w:line="276" w:before="70" w:after="0"/>
              <w:rPr>
                <w:rFonts w:eastAsia="Calibri"/>
                <w:sz w:val="24"/>
                <w:szCs w:val="24"/>
                <w:lang w:eastAsia="en-US"/>
              </w:rPr>
            </w:pPr>
            <w:r>
              <w:rPr>
                <w:rFonts w:eastAsia="Calibri"/>
                <w:sz w:val="24"/>
                <w:szCs w:val="24"/>
                <w:lang w:eastAsia="en-US"/>
              </w:rPr>
              <w:t>18,2</w:t>
            </w:r>
          </w:p>
        </w:tc>
        <w:tc>
          <w:tcPr>
            <w:tcW w:w="85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397" w:leader="none"/>
              </w:tabs>
              <w:suppressAutoHyphens w:val="false"/>
              <w:spacing w:lineRule="auto" w:line="276" w:before="70" w:after="0"/>
              <w:rPr>
                <w:rFonts w:eastAsia="Calibri"/>
                <w:sz w:val="24"/>
                <w:szCs w:val="24"/>
                <w:lang w:eastAsia="en-US"/>
              </w:rPr>
            </w:pPr>
            <w:r>
              <w:rPr>
                <w:rFonts w:eastAsia="Calibri"/>
                <w:sz w:val="24"/>
                <w:szCs w:val="24"/>
                <w:lang w:eastAsia="en-US"/>
              </w:rPr>
              <w:t>14,9</w:t>
            </w:r>
          </w:p>
        </w:tc>
        <w:tc>
          <w:tcPr>
            <w:tcW w:w="14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397" w:leader="none"/>
              </w:tabs>
              <w:suppressAutoHyphens w:val="false"/>
              <w:spacing w:lineRule="auto" w:line="276" w:before="70" w:after="0"/>
              <w:rPr>
                <w:rFonts w:eastAsia="Calibri"/>
                <w:sz w:val="24"/>
                <w:szCs w:val="24"/>
                <w:lang w:eastAsia="en-US"/>
              </w:rPr>
            </w:pPr>
            <w:r>
              <w:rPr>
                <w:rFonts w:eastAsia="Calibri"/>
                <w:sz w:val="24"/>
                <w:szCs w:val="24"/>
                <w:lang w:eastAsia="en-US"/>
              </w:rPr>
              <w:t>+3,5</w:t>
            </w:r>
          </w:p>
        </w:tc>
      </w:tr>
      <w:tr>
        <w:trPr>
          <w:trHeight w:val="734" w:hRule="atLeast"/>
          <w:cantSplit w:val="true"/>
        </w:trPr>
        <w:tc>
          <w:tcPr>
            <w:tcW w:w="338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pacing w:lineRule="auto" w:line="276" w:before="70" w:after="0"/>
              <w:rPr>
                <w:rFonts w:eastAsia="Calibri"/>
                <w:sz w:val="24"/>
                <w:szCs w:val="24"/>
              </w:rPr>
            </w:pPr>
            <w:r>
              <w:rPr>
                <w:rFonts w:eastAsia="Calibri"/>
                <w:sz w:val="24"/>
                <w:szCs w:val="24"/>
              </w:rPr>
              <w:t>Топкинский муниципальный округ</w:t>
            </w:r>
          </w:p>
        </w:tc>
        <w:tc>
          <w:tcPr>
            <w:tcW w:w="853" w:type="dxa"/>
            <w:tcBorders>
              <w:top w:val="single" w:sz="4" w:space="0" w:color="000000"/>
              <w:left w:val="single" w:sz="4" w:space="0" w:color="000000"/>
              <w:bottom w:val="single" w:sz="4" w:space="0" w:color="000000"/>
              <w:right w:val="single" w:sz="4" w:space="0" w:color="000000"/>
            </w:tcBorders>
            <w:shd w:fill="FFFFFF" w:val="clear"/>
            <w:vAlign w:val="center"/>
          </w:tcPr>
          <w:p>
            <w:pPr>
              <w:pStyle w:val="Normal"/>
              <w:tabs>
                <w:tab w:val="clear" w:pos="708"/>
                <w:tab w:val="decimal" w:pos="397" w:leader="none"/>
              </w:tabs>
              <w:suppressAutoHyphens w:val="false"/>
              <w:spacing w:lineRule="auto" w:line="276" w:before="70" w:after="0"/>
              <w:rPr>
                <w:rFonts w:eastAsia="Calibri"/>
                <w:color w:val="000000"/>
                <w:sz w:val="24"/>
                <w:szCs w:val="24"/>
              </w:rPr>
            </w:pPr>
            <w:r>
              <w:rPr>
                <w:rFonts w:eastAsia="Calibri"/>
                <w:color w:val="000000"/>
                <w:sz w:val="24"/>
                <w:szCs w:val="24"/>
              </w:rPr>
              <w:t>16,5</w:t>
            </w:r>
          </w:p>
        </w:tc>
        <w:tc>
          <w:tcPr>
            <w:tcW w:w="853" w:type="dxa"/>
            <w:tcBorders>
              <w:top w:val="single" w:sz="4" w:space="0" w:color="000000"/>
              <w:bottom w:val="single" w:sz="4" w:space="0" w:color="000000"/>
              <w:right w:val="single" w:sz="4" w:space="0" w:color="000000"/>
            </w:tcBorders>
            <w:shd w:fill="FFFFFF" w:val="clear"/>
            <w:vAlign w:val="center"/>
          </w:tcPr>
          <w:p>
            <w:pPr>
              <w:pStyle w:val="Normal"/>
              <w:widowControl w:val="false"/>
              <w:tabs>
                <w:tab w:val="clear" w:pos="708"/>
                <w:tab w:val="decimal" w:pos="397" w:leader="none"/>
              </w:tabs>
              <w:suppressAutoHyphens w:val="false"/>
              <w:spacing w:lineRule="auto" w:line="276" w:before="70" w:after="0"/>
              <w:rPr>
                <w:rFonts w:eastAsia="Calibri"/>
                <w:color w:val="000000"/>
                <w:sz w:val="24"/>
                <w:szCs w:val="24"/>
              </w:rPr>
            </w:pPr>
            <w:r>
              <w:rPr>
                <w:rFonts w:eastAsia="Calibri"/>
                <w:color w:val="000000"/>
                <w:sz w:val="24"/>
                <w:szCs w:val="24"/>
              </w:rPr>
              <w:t>17,3</w:t>
            </w:r>
          </w:p>
        </w:tc>
        <w:tc>
          <w:tcPr>
            <w:tcW w:w="853" w:type="dxa"/>
            <w:tcBorders>
              <w:top w:val="single" w:sz="4" w:space="0" w:color="000000"/>
              <w:bottom w:val="single" w:sz="4" w:space="0" w:color="000000"/>
              <w:right w:val="single" w:sz="4" w:space="0" w:color="000000"/>
            </w:tcBorders>
            <w:shd w:fill="FFFFFF" w:val="clear"/>
            <w:vAlign w:val="center"/>
          </w:tcPr>
          <w:p>
            <w:pPr>
              <w:pStyle w:val="Normal"/>
              <w:widowControl w:val="false"/>
              <w:tabs>
                <w:tab w:val="clear" w:pos="708"/>
                <w:tab w:val="decimal" w:pos="397" w:leader="none"/>
              </w:tabs>
              <w:suppressAutoHyphens w:val="false"/>
              <w:spacing w:lineRule="auto" w:line="276" w:before="70" w:after="0"/>
              <w:rPr>
                <w:rFonts w:eastAsia="Calibri"/>
                <w:color w:val="000000"/>
                <w:sz w:val="24"/>
                <w:szCs w:val="24"/>
              </w:rPr>
            </w:pPr>
            <w:r>
              <w:rPr>
                <w:rFonts w:eastAsia="Calibri"/>
                <w:color w:val="000000"/>
                <w:sz w:val="24"/>
                <w:szCs w:val="24"/>
              </w:rPr>
              <w:t>17,5</w:t>
            </w:r>
          </w:p>
        </w:tc>
        <w:tc>
          <w:tcPr>
            <w:tcW w:w="853" w:type="dxa"/>
            <w:tcBorders>
              <w:top w:val="single" w:sz="4" w:space="0" w:color="000000"/>
              <w:bottom w:val="single" w:sz="4" w:space="0" w:color="000000"/>
              <w:right w:val="single" w:sz="4" w:space="0" w:color="000000"/>
            </w:tcBorders>
            <w:shd w:fill="FFFFFF" w:val="clear"/>
            <w:vAlign w:val="center"/>
          </w:tcPr>
          <w:p>
            <w:pPr>
              <w:pStyle w:val="Normal"/>
              <w:widowControl w:val="false"/>
              <w:tabs>
                <w:tab w:val="clear" w:pos="708"/>
                <w:tab w:val="decimal" w:pos="397" w:leader="none"/>
              </w:tabs>
              <w:suppressAutoHyphens w:val="false"/>
              <w:spacing w:lineRule="auto" w:line="276" w:before="70" w:after="0"/>
              <w:rPr>
                <w:rFonts w:eastAsia="Calibri"/>
                <w:color w:val="000000"/>
                <w:sz w:val="24"/>
                <w:szCs w:val="24"/>
              </w:rPr>
            </w:pPr>
            <w:r>
              <w:rPr>
                <w:rFonts w:eastAsia="Calibri"/>
                <w:color w:val="000000"/>
                <w:sz w:val="24"/>
                <w:szCs w:val="24"/>
              </w:rPr>
              <w:t>20,7</w:t>
            </w:r>
          </w:p>
        </w:tc>
        <w:tc>
          <w:tcPr>
            <w:tcW w:w="853" w:type="dxa"/>
            <w:tcBorders>
              <w:top w:val="single" w:sz="4" w:space="0" w:color="000000"/>
              <w:bottom w:val="single" w:sz="4" w:space="0" w:color="000000"/>
              <w:right w:val="single" w:sz="4" w:space="0" w:color="000000"/>
            </w:tcBorders>
            <w:shd w:fill="FFFFFF" w:val="clear"/>
            <w:vAlign w:val="center"/>
          </w:tcPr>
          <w:p>
            <w:pPr>
              <w:pStyle w:val="Normal"/>
              <w:widowControl w:val="false"/>
              <w:tabs>
                <w:tab w:val="clear" w:pos="708"/>
                <w:tab w:val="decimal" w:pos="397" w:leader="none"/>
              </w:tabs>
              <w:suppressAutoHyphens w:val="false"/>
              <w:spacing w:lineRule="auto" w:line="276" w:before="70" w:after="0"/>
              <w:rPr>
                <w:rFonts w:eastAsia="Calibri"/>
                <w:color w:val="000000"/>
                <w:sz w:val="24"/>
                <w:szCs w:val="24"/>
              </w:rPr>
            </w:pPr>
            <w:r>
              <w:rPr>
                <w:rFonts w:eastAsia="Calibri"/>
                <w:color w:val="000000"/>
                <w:sz w:val="24"/>
                <w:szCs w:val="24"/>
              </w:rPr>
              <w:t>17,9</w:t>
            </w:r>
          </w:p>
        </w:tc>
        <w:tc>
          <w:tcPr>
            <w:tcW w:w="142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397" w:leader="none"/>
              </w:tabs>
              <w:suppressAutoHyphens w:val="false"/>
              <w:spacing w:lineRule="auto" w:line="276" w:before="70" w:after="0"/>
              <w:rPr>
                <w:rFonts w:eastAsia="Calibri"/>
                <w:sz w:val="24"/>
                <w:szCs w:val="24"/>
                <w:lang w:eastAsia="en-US"/>
              </w:rPr>
            </w:pPr>
            <w:r>
              <w:rPr>
                <w:rFonts w:eastAsia="Calibri"/>
                <w:sz w:val="24"/>
                <w:szCs w:val="24"/>
                <w:lang w:eastAsia="en-US"/>
              </w:rPr>
              <w:t>+8,5</w:t>
            </w:r>
          </w:p>
        </w:tc>
      </w:tr>
    </w:tbl>
    <w:p>
      <w:pPr>
        <w:pStyle w:val="Normal"/>
        <w:jc w:val="both"/>
        <w:rPr/>
      </w:pPr>
      <w:r>
        <w:rPr/>
      </w:r>
    </w:p>
    <w:p>
      <w:pPr>
        <w:pStyle w:val="Normal"/>
        <w:jc w:val="both"/>
        <w:rPr>
          <w:rFonts w:eastAsia="Calibri"/>
          <w:sz w:val="22"/>
          <w:szCs w:val="22"/>
          <w:lang w:eastAsia="en-US"/>
        </w:rPr>
      </w:pPr>
      <w:r>
        <w:rPr>
          <w:rFonts w:eastAsia="Calibri"/>
          <w:sz w:val="22"/>
          <w:szCs w:val="22"/>
          <w:lang w:eastAsia="en-US"/>
        </w:rPr>
      </w:r>
    </w:p>
    <w:p>
      <w:pPr>
        <w:pStyle w:val="Normal"/>
        <w:suppressAutoHyphens w:val="false"/>
        <w:spacing w:before="0" w:after="0"/>
        <w:ind w:firstLine="851"/>
        <w:contextualSpacing/>
        <w:jc w:val="both"/>
        <w:rPr>
          <w:rFonts w:eastAsia="Calibri"/>
          <w:sz w:val="28"/>
          <w:szCs w:val="28"/>
          <w:lang w:eastAsia="en-US"/>
        </w:rPr>
      </w:pPr>
      <w:r>
        <w:rPr>
          <w:rFonts w:eastAsia="Calibri"/>
          <w:sz w:val="28"/>
          <w:szCs w:val="28"/>
          <w:lang w:eastAsia="en-US"/>
        </w:rPr>
        <w:t>Общая смертность за период с 2018 по 2022 год в Топкинском муниципальном округе увеличилась на 8,5 %</w:t>
      </w:r>
    </w:p>
    <w:p>
      <w:pPr>
        <w:pStyle w:val="Normal"/>
        <w:jc w:val="both"/>
        <w:rPr/>
      </w:pPr>
      <w:r>
        <w:rPr/>
      </w:r>
    </w:p>
    <w:p>
      <w:pPr>
        <w:pStyle w:val="ListParagraph"/>
        <w:spacing w:lineRule="auto" w:line="240" w:before="0" w:after="0"/>
        <w:ind w:left="0" w:right="0" w:hanging="0"/>
        <w:jc w:val="both"/>
        <w:rPr>
          <w:rFonts w:ascii="Times New Roman" w:hAnsi="Times New Roman" w:cs="Times New Roman"/>
          <w:i/>
          <w:i/>
          <w:iCs/>
          <w:sz w:val="28"/>
          <w:szCs w:val="28"/>
        </w:rPr>
      </w:pPr>
      <w:r>
        <w:rPr>
          <w:rFonts w:cs="Times New Roman" w:ascii="Times New Roman" w:hAnsi="Times New Roman"/>
          <w:i/>
          <w:iCs/>
          <w:sz w:val="28"/>
          <w:szCs w:val="28"/>
        </w:rPr>
        <w:t>Таблица 6. Коэффициенты смертности по основным классам причин смерти (на 100 000 человек)</w:t>
      </w:r>
    </w:p>
    <w:tbl>
      <w:tblPr>
        <w:tblW w:w="9705" w:type="dxa"/>
        <w:jc w:val="center"/>
        <w:tblInd w:w="0" w:type="dxa"/>
        <w:tblLayout w:type="fixed"/>
        <w:tblCellMar>
          <w:top w:w="0" w:type="dxa"/>
          <w:left w:w="108" w:type="dxa"/>
          <w:bottom w:w="0" w:type="dxa"/>
          <w:right w:w="108" w:type="dxa"/>
        </w:tblCellMar>
      </w:tblPr>
      <w:tblGrid>
        <w:gridCol w:w="2018"/>
        <w:gridCol w:w="1446"/>
        <w:gridCol w:w="1106"/>
        <w:gridCol w:w="1167"/>
        <w:gridCol w:w="1251"/>
        <w:gridCol w:w="1273"/>
        <w:gridCol w:w="1444"/>
      </w:tblGrid>
      <w:tr>
        <w:trPr/>
        <w:tc>
          <w:tcPr>
            <w:tcW w:w="2018" w:type="dxa"/>
            <w:vMerge w:val="restart"/>
            <w:tcBorders>
              <w:top w:val="double" w:sz="4" w:space="0" w:color="000000"/>
              <w:left w:val="double" w:sz="4" w:space="0" w:color="000000"/>
              <w:bottom w:val="single" w:sz="4" w:space="0" w:color="000000"/>
              <w:right w:val="single" w:sz="4" w:space="0" w:color="000000"/>
            </w:tcBorders>
            <w:vAlign w:val="center"/>
          </w:tcPr>
          <w:p>
            <w:pPr>
              <w:pStyle w:val="Normal"/>
              <w:widowControl w:val="false"/>
              <w:snapToGrid w:val="false"/>
              <w:spacing w:lineRule="exact" w:line="300" w:before="16" w:after="16"/>
              <w:jc w:val="center"/>
              <w:rPr>
                <w:sz w:val="24"/>
                <w:szCs w:val="24"/>
              </w:rPr>
            </w:pPr>
            <w:r>
              <w:rPr>
                <w:sz w:val="24"/>
                <w:szCs w:val="24"/>
              </w:rPr>
            </w:r>
          </w:p>
        </w:tc>
        <w:tc>
          <w:tcPr>
            <w:tcW w:w="7687" w:type="dxa"/>
            <w:gridSpan w:val="6"/>
            <w:tcBorders>
              <w:top w:val="double" w:sz="4" w:space="0" w:color="000000"/>
              <w:left w:val="single" w:sz="4" w:space="0" w:color="000000"/>
              <w:bottom w:val="single" w:sz="4" w:space="0" w:color="000000"/>
              <w:right w:val="double" w:sz="4" w:space="0" w:color="000000"/>
            </w:tcBorders>
          </w:tcPr>
          <w:p>
            <w:pPr>
              <w:pStyle w:val="Normal"/>
              <w:widowControl w:val="false"/>
              <w:spacing w:lineRule="exact" w:line="300" w:before="16" w:after="16"/>
              <w:jc w:val="center"/>
              <w:rPr>
                <w:sz w:val="24"/>
                <w:szCs w:val="24"/>
              </w:rPr>
            </w:pPr>
            <w:r>
              <w:rPr>
                <w:sz w:val="24"/>
                <w:szCs w:val="24"/>
              </w:rPr>
              <w:t>Коэффициенты смертности по причинам смерти от</w:t>
            </w:r>
          </w:p>
        </w:tc>
      </w:tr>
      <w:tr>
        <w:trPr/>
        <w:tc>
          <w:tcPr>
            <w:tcW w:w="2018" w:type="dxa"/>
            <w:vMerge w:val="continue"/>
            <w:tcBorders>
              <w:top w:val="double" w:sz="4" w:space="0" w:color="000000"/>
              <w:left w:val="double" w:sz="4" w:space="0" w:color="000000"/>
              <w:bottom w:val="single" w:sz="4" w:space="0" w:color="000000"/>
              <w:right w:val="single" w:sz="4" w:space="0" w:color="000000"/>
            </w:tcBorders>
            <w:vAlign w:val="center"/>
          </w:tcPr>
          <w:p>
            <w:pPr>
              <w:pStyle w:val="Normal"/>
              <w:snapToGrid w:val="false"/>
              <w:rPr>
                <w:sz w:val="24"/>
                <w:szCs w:val="24"/>
              </w:rPr>
            </w:pPr>
            <w:r>
              <w:rPr>
                <w:sz w:val="24"/>
                <w:szCs w:val="24"/>
              </w:rPr>
            </w:r>
          </w:p>
        </w:tc>
        <w:tc>
          <w:tcPr>
            <w:tcW w:w="144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exact" w:line="300" w:before="16" w:after="16"/>
              <w:jc w:val="center"/>
              <w:rPr>
                <w:sz w:val="24"/>
                <w:szCs w:val="24"/>
              </w:rPr>
            </w:pPr>
            <w:r>
              <w:rPr>
                <w:sz w:val="24"/>
                <w:szCs w:val="24"/>
              </w:rPr>
              <w:t>болезней</w:t>
            </w:r>
          </w:p>
          <w:p>
            <w:pPr>
              <w:pStyle w:val="Normal"/>
              <w:widowControl w:val="false"/>
              <w:spacing w:lineRule="exact" w:line="300" w:before="16" w:after="16"/>
              <w:jc w:val="center"/>
              <w:rPr>
                <w:sz w:val="24"/>
                <w:szCs w:val="24"/>
              </w:rPr>
            </w:pPr>
            <w:r>
              <w:rPr>
                <w:sz w:val="24"/>
                <w:szCs w:val="24"/>
              </w:rPr>
              <w:t>системы крово-обращения</w:t>
            </w:r>
          </w:p>
        </w:tc>
        <w:tc>
          <w:tcPr>
            <w:tcW w:w="1106"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0" w:before="16" w:after="16"/>
              <w:jc w:val="center"/>
              <w:rPr>
                <w:sz w:val="24"/>
                <w:szCs w:val="24"/>
              </w:rPr>
            </w:pPr>
            <w:r>
              <w:rPr>
                <w:sz w:val="24"/>
                <w:szCs w:val="24"/>
              </w:rPr>
              <w:t>новооб-</w:t>
            </w:r>
          </w:p>
          <w:p>
            <w:pPr>
              <w:pStyle w:val="Normal"/>
              <w:widowControl w:val="false"/>
              <w:spacing w:lineRule="exact" w:line="300" w:before="16" w:after="16"/>
              <w:jc w:val="center"/>
              <w:rPr>
                <w:sz w:val="24"/>
                <w:szCs w:val="24"/>
              </w:rPr>
            </w:pPr>
            <w:r>
              <w:rPr>
                <w:sz w:val="24"/>
                <w:szCs w:val="24"/>
              </w:rPr>
              <w:t>разований</w:t>
            </w:r>
          </w:p>
        </w:tc>
        <w:tc>
          <w:tcPr>
            <w:tcW w:w="116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0" w:before="16" w:after="16"/>
              <w:jc w:val="center"/>
              <w:rPr>
                <w:sz w:val="24"/>
                <w:szCs w:val="24"/>
              </w:rPr>
            </w:pPr>
            <w:r>
              <w:rPr>
                <w:sz w:val="24"/>
                <w:szCs w:val="24"/>
              </w:rPr>
              <w:t>внешних причин</w:t>
            </w:r>
          </w:p>
        </w:tc>
        <w:tc>
          <w:tcPr>
            <w:tcW w:w="125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0" w:before="16" w:after="16"/>
              <w:jc w:val="center"/>
              <w:rPr>
                <w:sz w:val="24"/>
                <w:szCs w:val="24"/>
              </w:rPr>
            </w:pPr>
            <w:r>
              <w:rPr>
                <w:sz w:val="24"/>
                <w:szCs w:val="24"/>
              </w:rPr>
              <w:t>болезней</w:t>
            </w:r>
          </w:p>
          <w:p>
            <w:pPr>
              <w:pStyle w:val="Normal"/>
              <w:widowControl w:val="false"/>
              <w:spacing w:lineRule="exact" w:line="300" w:before="16" w:after="16"/>
              <w:jc w:val="center"/>
              <w:rPr>
                <w:sz w:val="24"/>
                <w:szCs w:val="24"/>
              </w:rPr>
            </w:pPr>
            <w:r>
              <w:rPr>
                <w:sz w:val="24"/>
                <w:szCs w:val="24"/>
              </w:rPr>
              <w:t>органов дыхания</w:t>
            </w:r>
          </w:p>
        </w:tc>
        <w:tc>
          <w:tcPr>
            <w:tcW w:w="127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00" w:before="16" w:after="16"/>
              <w:jc w:val="center"/>
              <w:rPr>
                <w:sz w:val="24"/>
                <w:szCs w:val="24"/>
              </w:rPr>
            </w:pPr>
            <w:r>
              <w:rPr>
                <w:sz w:val="24"/>
                <w:szCs w:val="24"/>
              </w:rPr>
              <w:t>болезней органов пищеварения</w:t>
            </w:r>
          </w:p>
        </w:tc>
        <w:tc>
          <w:tcPr>
            <w:tcW w:w="1444" w:type="dxa"/>
            <w:tcBorders>
              <w:top w:val="single" w:sz="4" w:space="0" w:color="000000"/>
              <w:left w:val="single" w:sz="4" w:space="0" w:color="000000"/>
              <w:bottom w:val="single" w:sz="4" w:space="0" w:color="000000"/>
              <w:right w:val="double" w:sz="4" w:space="0" w:color="000000"/>
            </w:tcBorders>
          </w:tcPr>
          <w:p>
            <w:pPr>
              <w:pStyle w:val="Normal"/>
              <w:widowControl w:val="false"/>
              <w:spacing w:lineRule="exact" w:line="300" w:before="16" w:after="16"/>
              <w:jc w:val="center"/>
              <w:rPr>
                <w:sz w:val="24"/>
                <w:szCs w:val="24"/>
              </w:rPr>
            </w:pPr>
            <w:r>
              <w:rPr>
                <w:sz w:val="24"/>
                <w:szCs w:val="24"/>
              </w:rPr>
              <w:t>инфекционных</w:t>
            </w:r>
          </w:p>
          <w:p>
            <w:pPr>
              <w:pStyle w:val="Normal"/>
              <w:widowControl w:val="false"/>
              <w:spacing w:lineRule="exact" w:line="300" w:before="16" w:after="16"/>
              <w:jc w:val="center"/>
              <w:rPr>
                <w:sz w:val="24"/>
                <w:szCs w:val="24"/>
              </w:rPr>
            </w:pPr>
            <w:r>
              <w:rPr>
                <w:sz w:val="24"/>
                <w:szCs w:val="24"/>
              </w:rPr>
              <w:t>и паразитарных</w:t>
            </w:r>
          </w:p>
          <w:p>
            <w:pPr>
              <w:pStyle w:val="Normal"/>
              <w:widowControl w:val="false"/>
              <w:spacing w:lineRule="exact" w:line="300" w:before="16" w:after="16"/>
              <w:jc w:val="center"/>
              <w:rPr>
                <w:sz w:val="24"/>
                <w:szCs w:val="24"/>
              </w:rPr>
            </w:pPr>
            <w:r>
              <w:rPr>
                <w:sz w:val="24"/>
                <w:szCs w:val="24"/>
              </w:rPr>
              <w:t>болезней</w:t>
            </w:r>
          </w:p>
        </w:tc>
      </w:tr>
      <w:tr>
        <w:trPr/>
        <w:tc>
          <w:tcPr>
            <w:tcW w:w="2018" w:type="dxa"/>
            <w:tcBorders>
              <w:top w:val="single" w:sz="4" w:space="0" w:color="000000"/>
              <w:left w:val="double" w:sz="4" w:space="0" w:color="000000"/>
              <w:bottom w:val="dotted" w:sz="4" w:space="0" w:color="000000"/>
              <w:right w:val="dotted" w:sz="4" w:space="0" w:color="000000"/>
            </w:tcBorders>
            <w:vAlign w:val="center"/>
          </w:tcPr>
          <w:p>
            <w:pPr>
              <w:pStyle w:val="Normal"/>
              <w:widowControl w:val="false"/>
              <w:spacing w:lineRule="exact" w:line="300"/>
              <w:rPr>
                <w:sz w:val="24"/>
                <w:szCs w:val="24"/>
              </w:rPr>
            </w:pPr>
            <w:r>
              <w:rPr>
                <w:sz w:val="24"/>
                <w:szCs w:val="24"/>
              </w:rPr>
              <w:t xml:space="preserve">Кемеровская область – </w:t>
            </w:r>
          </w:p>
          <w:p>
            <w:pPr>
              <w:pStyle w:val="Normal"/>
              <w:widowControl w:val="false"/>
              <w:spacing w:lineRule="exact" w:line="300"/>
              <w:rPr>
                <w:sz w:val="24"/>
                <w:szCs w:val="24"/>
              </w:rPr>
            </w:pPr>
            <w:r>
              <w:rPr>
                <w:sz w:val="24"/>
                <w:szCs w:val="24"/>
              </w:rPr>
              <w:t xml:space="preserve"> </w:t>
            </w:r>
            <w:r>
              <w:rPr>
                <w:sz w:val="24"/>
                <w:szCs w:val="24"/>
              </w:rPr>
              <w:t>Кузбасс</w:t>
            </w:r>
          </w:p>
        </w:tc>
        <w:tc>
          <w:tcPr>
            <w:tcW w:w="1446" w:type="dxa"/>
            <w:tcBorders>
              <w:top w:val="single"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4" w:leader="none"/>
              </w:tabs>
              <w:snapToGrid w:val="false"/>
              <w:spacing w:lineRule="exact" w:line="300"/>
              <w:rPr>
                <w:sz w:val="24"/>
                <w:szCs w:val="24"/>
              </w:rPr>
            </w:pPr>
            <w:r>
              <w:rPr>
                <w:sz w:val="24"/>
                <w:szCs w:val="24"/>
              </w:rPr>
            </w:r>
          </w:p>
        </w:tc>
        <w:tc>
          <w:tcPr>
            <w:tcW w:w="1106" w:type="dxa"/>
            <w:tcBorders>
              <w:top w:val="single"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4" w:leader="none"/>
              </w:tabs>
              <w:snapToGrid w:val="false"/>
              <w:spacing w:lineRule="exact" w:line="300"/>
              <w:rPr>
                <w:sz w:val="24"/>
                <w:szCs w:val="24"/>
              </w:rPr>
            </w:pPr>
            <w:r>
              <w:rPr>
                <w:sz w:val="24"/>
                <w:szCs w:val="24"/>
              </w:rPr>
            </w:r>
          </w:p>
        </w:tc>
        <w:tc>
          <w:tcPr>
            <w:tcW w:w="1167" w:type="dxa"/>
            <w:tcBorders>
              <w:top w:val="single"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4" w:leader="none"/>
              </w:tabs>
              <w:snapToGrid w:val="false"/>
              <w:spacing w:lineRule="exact" w:line="300"/>
              <w:rPr>
                <w:sz w:val="24"/>
                <w:szCs w:val="24"/>
              </w:rPr>
            </w:pPr>
            <w:r>
              <w:rPr>
                <w:sz w:val="24"/>
                <w:szCs w:val="24"/>
              </w:rPr>
            </w:r>
          </w:p>
        </w:tc>
        <w:tc>
          <w:tcPr>
            <w:tcW w:w="1251" w:type="dxa"/>
            <w:tcBorders>
              <w:top w:val="single"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4" w:leader="none"/>
              </w:tabs>
              <w:snapToGrid w:val="false"/>
              <w:spacing w:lineRule="exact" w:line="300"/>
              <w:rPr>
                <w:sz w:val="24"/>
                <w:szCs w:val="24"/>
              </w:rPr>
            </w:pPr>
            <w:r>
              <w:rPr>
                <w:sz w:val="24"/>
                <w:szCs w:val="24"/>
              </w:rPr>
            </w:r>
          </w:p>
        </w:tc>
        <w:tc>
          <w:tcPr>
            <w:tcW w:w="1273" w:type="dxa"/>
            <w:tcBorders>
              <w:top w:val="single"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4" w:leader="none"/>
              </w:tabs>
              <w:snapToGrid w:val="false"/>
              <w:spacing w:lineRule="exact" w:line="300"/>
              <w:rPr>
                <w:sz w:val="24"/>
                <w:szCs w:val="24"/>
              </w:rPr>
            </w:pPr>
            <w:r>
              <w:rPr>
                <w:sz w:val="24"/>
                <w:szCs w:val="24"/>
              </w:rPr>
            </w:r>
          </w:p>
        </w:tc>
        <w:tc>
          <w:tcPr>
            <w:tcW w:w="1444" w:type="dxa"/>
            <w:tcBorders>
              <w:top w:val="single" w:sz="4" w:space="0" w:color="000000"/>
              <w:left w:val="dotted" w:sz="4" w:space="0" w:color="000000"/>
              <w:bottom w:val="dotted" w:sz="4" w:space="0" w:color="000000"/>
              <w:right w:val="double" w:sz="4" w:space="0" w:color="000000"/>
            </w:tcBorders>
            <w:vAlign w:val="center"/>
          </w:tcPr>
          <w:p>
            <w:pPr>
              <w:pStyle w:val="Normal"/>
              <w:widowControl w:val="false"/>
              <w:tabs>
                <w:tab w:val="clear" w:pos="708"/>
                <w:tab w:val="decimal" w:pos="564" w:leader="none"/>
              </w:tabs>
              <w:snapToGrid w:val="false"/>
              <w:spacing w:lineRule="exact" w:line="300"/>
              <w:rPr>
                <w:sz w:val="24"/>
                <w:szCs w:val="24"/>
              </w:rPr>
            </w:pPr>
            <w:r>
              <w:rPr>
                <w:sz w:val="24"/>
                <w:szCs w:val="24"/>
              </w:rPr>
            </w:r>
          </w:p>
        </w:tc>
      </w:tr>
      <w:tr>
        <w:trPr/>
        <w:tc>
          <w:tcPr>
            <w:tcW w:w="2018"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exact" w:line="300"/>
              <w:jc w:val="center"/>
              <w:rPr>
                <w:sz w:val="24"/>
                <w:szCs w:val="24"/>
                <w:lang w:val="en-US"/>
              </w:rPr>
            </w:pPr>
            <w:r>
              <w:rPr>
                <w:sz w:val="24"/>
                <w:szCs w:val="24"/>
                <w:lang w:val="en-US"/>
              </w:rPr>
              <w:t>2020</w:t>
            </w:r>
          </w:p>
        </w:tc>
        <w:tc>
          <w:tcPr>
            <w:tcW w:w="144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00" w:leader="none"/>
              </w:tabs>
              <w:spacing w:lineRule="exact" w:line="300"/>
              <w:rPr>
                <w:sz w:val="24"/>
                <w:szCs w:val="24"/>
              </w:rPr>
            </w:pPr>
            <w:r>
              <w:rPr>
                <w:sz w:val="24"/>
                <w:szCs w:val="24"/>
              </w:rPr>
              <w:t>802,5</w:t>
            </w:r>
          </w:p>
        </w:tc>
        <w:tc>
          <w:tcPr>
            <w:tcW w:w="110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06" w:leader="none"/>
              </w:tabs>
              <w:spacing w:lineRule="exact" w:line="300"/>
              <w:rPr>
                <w:sz w:val="24"/>
                <w:szCs w:val="24"/>
              </w:rPr>
            </w:pPr>
            <w:r>
              <w:rPr>
                <w:sz w:val="24"/>
                <w:szCs w:val="24"/>
              </w:rPr>
              <w:t>246,0</w:t>
            </w:r>
          </w:p>
        </w:tc>
        <w:tc>
          <w:tcPr>
            <w:tcW w:w="1167"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48" w:leader="none"/>
              </w:tabs>
              <w:spacing w:lineRule="exact" w:line="300"/>
              <w:rPr>
                <w:sz w:val="24"/>
                <w:szCs w:val="24"/>
              </w:rPr>
            </w:pPr>
            <w:r>
              <w:rPr>
                <w:sz w:val="24"/>
                <w:szCs w:val="24"/>
              </w:rPr>
              <w:t>125,7</w:t>
            </w:r>
          </w:p>
        </w:tc>
        <w:tc>
          <w:tcPr>
            <w:tcW w:w="1251"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8" w:leader="none"/>
              </w:tabs>
              <w:spacing w:lineRule="exact" w:line="300"/>
              <w:rPr>
                <w:sz w:val="24"/>
                <w:szCs w:val="24"/>
              </w:rPr>
            </w:pPr>
            <w:r>
              <w:rPr>
                <w:sz w:val="24"/>
                <w:szCs w:val="24"/>
              </w:rPr>
              <w:t>81,8</w:t>
            </w:r>
          </w:p>
        </w:tc>
        <w:tc>
          <w:tcPr>
            <w:tcW w:w="1273"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21" w:leader="none"/>
              </w:tabs>
              <w:spacing w:lineRule="exact" w:line="300"/>
              <w:rPr>
                <w:sz w:val="24"/>
                <w:szCs w:val="24"/>
              </w:rPr>
            </w:pPr>
            <w:r>
              <w:rPr>
                <w:sz w:val="24"/>
                <w:szCs w:val="24"/>
              </w:rPr>
              <w:t>93,3</w:t>
            </w:r>
          </w:p>
        </w:tc>
        <w:tc>
          <w:tcPr>
            <w:tcW w:w="1444" w:type="dxa"/>
            <w:tcBorders>
              <w:top w:val="dotted" w:sz="4" w:space="0" w:color="000000"/>
              <w:left w:val="dotted" w:sz="4" w:space="0" w:color="000000"/>
              <w:bottom w:val="dotted" w:sz="4" w:space="0" w:color="000000"/>
              <w:right w:val="double" w:sz="4" w:space="0" w:color="000000"/>
            </w:tcBorders>
            <w:vAlign w:val="center"/>
          </w:tcPr>
          <w:p>
            <w:pPr>
              <w:pStyle w:val="Normal"/>
              <w:widowControl w:val="false"/>
              <w:tabs>
                <w:tab w:val="clear" w:pos="708"/>
                <w:tab w:val="decimal" w:pos="635" w:leader="none"/>
              </w:tabs>
              <w:spacing w:lineRule="exact" w:line="300"/>
              <w:rPr>
                <w:sz w:val="24"/>
                <w:szCs w:val="24"/>
              </w:rPr>
            </w:pPr>
            <w:r>
              <w:rPr>
                <w:sz w:val="24"/>
                <w:szCs w:val="24"/>
              </w:rPr>
              <w:t>70,8</w:t>
            </w:r>
          </w:p>
        </w:tc>
      </w:tr>
      <w:tr>
        <w:trPr/>
        <w:tc>
          <w:tcPr>
            <w:tcW w:w="2018"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exact" w:line="300"/>
              <w:jc w:val="center"/>
              <w:rPr>
                <w:sz w:val="24"/>
                <w:szCs w:val="24"/>
              </w:rPr>
            </w:pPr>
            <w:r>
              <w:rPr>
                <w:sz w:val="24"/>
                <w:szCs w:val="24"/>
              </w:rPr>
              <w:t>2021</w:t>
            </w:r>
          </w:p>
        </w:tc>
        <w:tc>
          <w:tcPr>
            <w:tcW w:w="144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00" w:leader="none"/>
              </w:tabs>
              <w:spacing w:lineRule="exact" w:line="300"/>
              <w:rPr/>
            </w:pPr>
            <w:r>
              <w:rPr>
                <w:sz w:val="24"/>
                <w:szCs w:val="24"/>
              </w:rPr>
              <w:t>896,9</w:t>
            </w:r>
          </w:p>
        </w:tc>
        <w:tc>
          <w:tcPr>
            <w:tcW w:w="110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06" w:leader="none"/>
              </w:tabs>
              <w:spacing w:lineRule="exact" w:line="300"/>
              <w:rPr>
                <w:sz w:val="24"/>
                <w:szCs w:val="24"/>
              </w:rPr>
            </w:pPr>
            <w:r>
              <w:rPr>
                <w:sz w:val="24"/>
                <w:szCs w:val="24"/>
              </w:rPr>
              <w:t>239,5</w:t>
            </w:r>
          </w:p>
        </w:tc>
        <w:tc>
          <w:tcPr>
            <w:tcW w:w="1167"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48" w:leader="none"/>
              </w:tabs>
              <w:spacing w:lineRule="exact" w:line="300"/>
              <w:rPr>
                <w:sz w:val="24"/>
                <w:szCs w:val="24"/>
              </w:rPr>
            </w:pPr>
            <w:r>
              <w:rPr>
                <w:sz w:val="24"/>
                <w:szCs w:val="24"/>
              </w:rPr>
              <w:t>119,6</w:t>
            </w:r>
          </w:p>
        </w:tc>
        <w:tc>
          <w:tcPr>
            <w:tcW w:w="1251"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8" w:leader="none"/>
              </w:tabs>
              <w:spacing w:lineRule="exact" w:line="300"/>
              <w:rPr>
                <w:sz w:val="24"/>
                <w:szCs w:val="24"/>
              </w:rPr>
            </w:pPr>
            <w:r>
              <w:rPr>
                <w:sz w:val="24"/>
                <w:szCs w:val="24"/>
              </w:rPr>
              <w:t>102,1</w:t>
            </w:r>
          </w:p>
        </w:tc>
        <w:tc>
          <w:tcPr>
            <w:tcW w:w="1273"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21" w:leader="none"/>
              </w:tabs>
              <w:spacing w:lineRule="exact" w:line="300"/>
              <w:rPr>
                <w:sz w:val="24"/>
                <w:szCs w:val="24"/>
              </w:rPr>
            </w:pPr>
            <w:r>
              <w:rPr>
                <w:sz w:val="24"/>
                <w:szCs w:val="24"/>
              </w:rPr>
              <w:t>94,1</w:t>
            </w:r>
          </w:p>
        </w:tc>
        <w:tc>
          <w:tcPr>
            <w:tcW w:w="1444" w:type="dxa"/>
            <w:tcBorders>
              <w:top w:val="dotted" w:sz="4" w:space="0" w:color="000000"/>
              <w:left w:val="dotted" w:sz="4" w:space="0" w:color="000000"/>
              <w:bottom w:val="dotted" w:sz="4" w:space="0" w:color="000000"/>
              <w:right w:val="double" w:sz="4" w:space="0" w:color="000000"/>
            </w:tcBorders>
            <w:vAlign w:val="center"/>
          </w:tcPr>
          <w:p>
            <w:pPr>
              <w:pStyle w:val="Normal"/>
              <w:widowControl w:val="false"/>
              <w:tabs>
                <w:tab w:val="clear" w:pos="708"/>
                <w:tab w:val="decimal" w:pos="635" w:leader="none"/>
              </w:tabs>
              <w:spacing w:lineRule="exact" w:line="300"/>
              <w:rPr>
                <w:sz w:val="24"/>
                <w:szCs w:val="24"/>
              </w:rPr>
            </w:pPr>
            <w:r>
              <w:rPr>
                <w:sz w:val="24"/>
                <w:szCs w:val="24"/>
              </w:rPr>
              <w:t>67,4</w:t>
            </w:r>
          </w:p>
        </w:tc>
      </w:tr>
      <w:tr>
        <w:trPr/>
        <w:tc>
          <w:tcPr>
            <w:tcW w:w="2018"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exact" w:line="300"/>
              <w:jc w:val="center"/>
              <w:rPr>
                <w:sz w:val="24"/>
                <w:szCs w:val="24"/>
              </w:rPr>
            </w:pPr>
            <w:r>
              <w:rPr>
                <w:sz w:val="24"/>
                <w:szCs w:val="24"/>
              </w:rPr>
              <w:t>2022</w:t>
            </w:r>
          </w:p>
        </w:tc>
        <w:tc>
          <w:tcPr>
            <w:tcW w:w="144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00" w:leader="none"/>
              </w:tabs>
              <w:spacing w:lineRule="exact" w:line="300"/>
              <w:rPr>
                <w:sz w:val="24"/>
                <w:szCs w:val="24"/>
              </w:rPr>
            </w:pPr>
            <w:r>
              <w:rPr>
                <w:sz w:val="24"/>
                <w:szCs w:val="24"/>
              </w:rPr>
              <w:t>654,5</w:t>
            </w:r>
          </w:p>
        </w:tc>
        <w:tc>
          <w:tcPr>
            <w:tcW w:w="110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06" w:leader="none"/>
              </w:tabs>
              <w:spacing w:lineRule="exact" w:line="300"/>
              <w:rPr>
                <w:sz w:val="24"/>
                <w:szCs w:val="24"/>
              </w:rPr>
            </w:pPr>
            <w:r>
              <w:rPr>
                <w:sz w:val="24"/>
                <w:szCs w:val="24"/>
              </w:rPr>
              <w:t>234,1</w:t>
            </w:r>
          </w:p>
        </w:tc>
        <w:tc>
          <w:tcPr>
            <w:tcW w:w="1167"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48" w:leader="none"/>
              </w:tabs>
              <w:spacing w:lineRule="exact" w:line="300"/>
              <w:rPr>
                <w:sz w:val="24"/>
                <w:szCs w:val="24"/>
              </w:rPr>
            </w:pPr>
            <w:r>
              <w:rPr>
                <w:sz w:val="24"/>
                <w:szCs w:val="24"/>
              </w:rPr>
              <w:t>127,0</w:t>
            </w:r>
          </w:p>
        </w:tc>
        <w:tc>
          <w:tcPr>
            <w:tcW w:w="1251"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8" w:leader="none"/>
              </w:tabs>
              <w:spacing w:lineRule="exact" w:line="300"/>
              <w:rPr>
                <w:sz w:val="24"/>
                <w:szCs w:val="24"/>
              </w:rPr>
            </w:pPr>
            <w:r>
              <w:rPr>
                <w:sz w:val="24"/>
                <w:szCs w:val="24"/>
              </w:rPr>
              <w:t>77,1</w:t>
            </w:r>
          </w:p>
        </w:tc>
        <w:tc>
          <w:tcPr>
            <w:tcW w:w="1273"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21" w:leader="none"/>
              </w:tabs>
              <w:spacing w:lineRule="exact" w:line="300"/>
              <w:rPr>
                <w:sz w:val="24"/>
                <w:szCs w:val="24"/>
              </w:rPr>
            </w:pPr>
            <w:r>
              <w:rPr>
                <w:sz w:val="24"/>
                <w:szCs w:val="24"/>
              </w:rPr>
              <w:t>92,5</w:t>
            </w:r>
          </w:p>
        </w:tc>
        <w:tc>
          <w:tcPr>
            <w:tcW w:w="1444" w:type="dxa"/>
            <w:tcBorders>
              <w:top w:val="dotted" w:sz="4" w:space="0" w:color="000000"/>
              <w:left w:val="dotted" w:sz="4" w:space="0" w:color="000000"/>
              <w:bottom w:val="dotted" w:sz="4" w:space="0" w:color="000000"/>
              <w:right w:val="double" w:sz="4" w:space="0" w:color="000000"/>
            </w:tcBorders>
            <w:vAlign w:val="center"/>
          </w:tcPr>
          <w:p>
            <w:pPr>
              <w:pStyle w:val="Normal"/>
              <w:widowControl w:val="false"/>
              <w:tabs>
                <w:tab w:val="clear" w:pos="708"/>
                <w:tab w:val="decimal" w:pos="635" w:leader="none"/>
              </w:tabs>
              <w:spacing w:lineRule="exact" w:line="300"/>
              <w:rPr/>
            </w:pPr>
            <w:r>
              <w:rPr>
                <w:sz w:val="24"/>
                <w:szCs w:val="24"/>
                <w:lang w:val="en-US"/>
              </w:rPr>
              <w:t>59</w:t>
            </w:r>
            <w:r>
              <w:rPr>
                <w:sz w:val="24"/>
                <w:szCs w:val="24"/>
              </w:rPr>
              <w:t>,8</w:t>
            </w:r>
          </w:p>
        </w:tc>
      </w:tr>
      <w:tr>
        <w:trPr/>
        <w:tc>
          <w:tcPr>
            <w:tcW w:w="201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exact" w:line="300"/>
              <w:jc w:val="center"/>
              <w:rPr>
                <w:rFonts w:eastAsia="Calibri"/>
                <w:sz w:val="24"/>
                <w:szCs w:val="24"/>
                <w:lang w:eastAsia="en-US"/>
              </w:rPr>
            </w:pPr>
            <w:r>
              <w:rPr>
                <w:rFonts w:eastAsia="Calibri"/>
                <w:sz w:val="24"/>
                <w:szCs w:val="24"/>
                <w:lang w:eastAsia="en-US"/>
              </w:rPr>
              <w:t>Динамика (%)</w:t>
            </w:r>
          </w:p>
        </w:tc>
        <w:tc>
          <w:tcPr>
            <w:tcW w:w="144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600" w:leader="none"/>
              </w:tabs>
              <w:spacing w:lineRule="exact" w:line="300"/>
              <w:rPr>
                <w:sz w:val="24"/>
                <w:szCs w:val="24"/>
              </w:rPr>
            </w:pPr>
            <w:r>
              <w:rPr>
                <w:sz w:val="24"/>
                <w:szCs w:val="24"/>
              </w:rPr>
              <w:t>- 18,4</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506" w:leader="none"/>
              </w:tabs>
              <w:spacing w:lineRule="exact" w:line="300"/>
              <w:rPr>
                <w:sz w:val="24"/>
                <w:szCs w:val="24"/>
              </w:rPr>
            </w:pPr>
            <w:r>
              <w:rPr>
                <w:sz w:val="24"/>
                <w:szCs w:val="24"/>
              </w:rPr>
              <w:t>-4,8</w:t>
            </w:r>
          </w:p>
        </w:tc>
        <w:tc>
          <w:tcPr>
            <w:tcW w:w="11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548" w:leader="none"/>
              </w:tabs>
              <w:spacing w:lineRule="exact" w:line="300"/>
              <w:rPr>
                <w:sz w:val="24"/>
                <w:szCs w:val="24"/>
              </w:rPr>
            </w:pPr>
            <w:r>
              <w:rPr>
                <w:sz w:val="24"/>
                <w:szCs w:val="24"/>
              </w:rPr>
              <w:t>+1,0</w:t>
            </w:r>
          </w:p>
        </w:tc>
        <w:tc>
          <w:tcPr>
            <w:tcW w:w="12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568" w:leader="none"/>
              </w:tabs>
              <w:spacing w:lineRule="exact" w:line="300"/>
              <w:rPr>
                <w:sz w:val="24"/>
                <w:szCs w:val="24"/>
              </w:rPr>
            </w:pPr>
            <w:r>
              <w:rPr>
                <w:sz w:val="24"/>
                <w:szCs w:val="24"/>
              </w:rPr>
              <w:t>- 5,7</w:t>
            </w:r>
          </w:p>
        </w:tc>
        <w:tc>
          <w:tcPr>
            <w:tcW w:w="12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621" w:leader="none"/>
              </w:tabs>
              <w:spacing w:lineRule="exact" w:line="300"/>
              <w:rPr>
                <w:sz w:val="24"/>
                <w:szCs w:val="24"/>
              </w:rPr>
            </w:pPr>
            <w:r>
              <w:rPr>
                <w:sz w:val="24"/>
                <w:szCs w:val="24"/>
              </w:rPr>
              <w:t>-0,9</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635" w:leader="none"/>
              </w:tabs>
              <w:spacing w:lineRule="exact" w:line="300"/>
              <w:rPr>
                <w:sz w:val="24"/>
                <w:szCs w:val="24"/>
              </w:rPr>
            </w:pPr>
            <w:r>
              <w:rPr>
                <w:sz w:val="24"/>
                <w:szCs w:val="24"/>
              </w:rPr>
              <w:t>-15.5</w:t>
            </w:r>
          </w:p>
        </w:tc>
      </w:tr>
      <w:tr>
        <w:trPr/>
        <w:tc>
          <w:tcPr>
            <w:tcW w:w="2018"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exact" w:line="300"/>
              <w:jc w:val="center"/>
              <w:rPr>
                <w:sz w:val="24"/>
                <w:szCs w:val="24"/>
              </w:rPr>
            </w:pPr>
            <w:r>
              <w:rPr>
                <w:sz w:val="24"/>
                <w:szCs w:val="24"/>
              </w:rPr>
              <w:t>Топкинский</w:t>
            </w:r>
          </w:p>
        </w:tc>
        <w:tc>
          <w:tcPr>
            <w:tcW w:w="144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00" w:leader="none"/>
              </w:tabs>
              <w:snapToGrid w:val="false"/>
              <w:spacing w:lineRule="exact" w:line="300"/>
              <w:rPr>
                <w:sz w:val="24"/>
                <w:szCs w:val="24"/>
              </w:rPr>
            </w:pPr>
            <w:r>
              <w:rPr>
                <w:sz w:val="24"/>
                <w:szCs w:val="24"/>
              </w:rPr>
            </w:r>
          </w:p>
        </w:tc>
        <w:tc>
          <w:tcPr>
            <w:tcW w:w="110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16" w:leader="none"/>
              </w:tabs>
              <w:snapToGrid w:val="false"/>
              <w:spacing w:lineRule="exact" w:line="300"/>
              <w:rPr>
                <w:sz w:val="24"/>
                <w:szCs w:val="24"/>
              </w:rPr>
            </w:pPr>
            <w:r>
              <w:rPr>
                <w:sz w:val="24"/>
                <w:szCs w:val="24"/>
              </w:rPr>
            </w:r>
          </w:p>
        </w:tc>
        <w:tc>
          <w:tcPr>
            <w:tcW w:w="1167"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48" w:leader="none"/>
              </w:tabs>
              <w:snapToGrid w:val="false"/>
              <w:spacing w:lineRule="exact" w:line="300"/>
              <w:rPr>
                <w:sz w:val="24"/>
                <w:szCs w:val="24"/>
              </w:rPr>
            </w:pPr>
            <w:r>
              <w:rPr>
                <w:sz w:val="24"/>
                <w:szCs w:val="24"/>
              </w:rPr>
            </w:r>
          </w:p>
        </w:tc>
        <w:tc>
          <w:tcPr>
            <w:tcW w:w="1251"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8" w:leader="none"/>
              </w:tabs>
              <w:snapToGrid w:val="false"/>
              <w:spacing w:lineRule="exact" w:line="300"/>
              <w:rPr>
                <w:sz w:val="24"/>
                <w:szCs w:val="24"/>
              </w:rPr>
            </w:pPr>
            <w:r>
              <w:rPr>
                <w:sz w:val="24"/>
                <w:szCs w:val="24"/>
              </w:rPr>
            </w:r>
          </w:p>
        </w:tc>
        <w:tc>
          <w:tcPr>
            <w:tcW w:w="1273"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01" w:leader="none"/>
              </w:tabs>
              <w:snapToGrid w:val="false"/>
              <w:spacing w:lineRule="exact" w:line="300"/>
              <w:rPr>
                <w:sz w:val="24"/>
                <w:szCs w:val="24"/>
              </w:rPr>
            </w:pPr>
            <w:r>
              <w:rPr>
                <w:sz w:val="24"/>
                <w:szCs w:val="24"/>
              </w:rPr>
            </w:r>
          </w:p>
        </w:tc>
        <w:tc>
          <w:tcPr>
            <w:tcW w:w="1444" w:type="dxa"/>
            <w:tcBorders>
              <w:top w:val="dotted" w:sz="4" w:space="0" w:color="000000"/>
              <w:left w:val="dotted" w:sz="4" w:space="0" w:color="000000"/>
              <w:bottom w:val="dotted" w:sz="4" w:space="0" w:color="000000"/>
              <w:right w:val="double" w:sz="4" w:space="0" w:color="000000"/>
            </w:tcBorders>
            <w:vAlign w:val="center"/>
          </w:tcPr>
          <w:p>
            <w:pPr>
              <w:pStyle w:val="Normal"/>
              <w:widowControl w:val="false"/>
              <w:tabs>
                <w:tab w:val="clear" w:pos="708"/>
                <w:tab w:val="decimal" w:pos="635" w:leader="none"/>
              </w:tabs>
              <w:snapToGrid w:val="false"/>
              <w:spacing w:lineRule="exact" w:line="300"/>
              <w:rPr>
                <w:sz w:val="24"/>
                <w:szCs w:val="24"/>
                <w:lang w:val="en-US"/>
              </w:rPr>
            </w:pPr>
            <w:r>
              <w:rPr>
                <w:sz w:val="24"/>
                <w:szCs w:val="24"/>
                <w:lang w:val="en-US"/>
              </w:rPr>
            </w:r>
          </w:p>
        </w:tc>
      </w:tr>
      <w:tr>
        <w:trPr/>
        <w:tc>
          <w:tcPr>
            <w:tcW w:w="2018"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exact" w:line="300"/>
              <w:jc w:val="center"/>
              <w:rPr>
                <w:sz w:val="24"/>
                <w:szCs w:val="24"/>
              </w:rPr>
            </w:pPr>
            <w:r>
              <w:rPr>
                <w:sz w:val="24"/>
                <w:szCs w:val="24"/>
              </w:rPr>
              <w:t>2020</w:t>
            </w:r>
          </w:p>
        </w:tc>
        <w:tc>
          <w:tcPr>
            <w:tcW w:w="144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00" w:leader="none"/>
              </w:tabs>
              <w:spacing w:lineRule="exact" w:line="300"/>
              <w:rPr>
                <w:sz w:val="24"/>
                <w:szCs w:val="24"/>
              </w:rPr>
            </w:pPr>
            <w:r>
              <w:rPr>
                <w:sz w:val="24"/>
                <w:szCs w:val="24"/>
              </w:rPr>
              <w:t>905,2</w:t>
            </w:r>
          </w:p>
        </w:tc>
        <w:tc>
          <w:tcPr>
            <w:tcW w:w="110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16" w:leader="none"/>
              </w:tabs>
              <w:spacing w:lineRule="exact" w:line="300"/>
              <w:rPr>
                <w:sz w:val="24"/>
                <w:szCs w:val="24"/>
              </w:rPr>
            </w:pPr>
            <w:r>
              <w:rPr>
                <w:sz w:val="24"/>
                <w:szCs w:val="24"/>
              </w:rPr>
              <w:t>215,2</w:t>
            </w:r>
          </w:p>
        </w:tc>
        <w:tc>
          <w:tcPr>
            <w:tcW w:w="1167"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48" w:leader="none"/>
              </w:tabs>
              <w:spacing w:lineRule="exact" w:line="300"/>
              <w:rPr>
                <w:sz w:val="24"/>
                <w:szCs w:val="24"/>
              </w:rPr>
            </w:pPr>
            <w:r>
              <w:rPr>
                <w:sz w:val="24"/>
                <w:szCs w:val="24"/>
              </w:rPr>
              <w:t>189,5</w:t>
            </w:r>
          </w:p>
        </w:tc>
        <w:tc>
          <w:tcPr>
            <w:tcW w:w="1251"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8" w:leader="none"/>
              </w:tabs>
              <w:spacing w:lineRule="exact" w:line="300"/>
              <w:rPr>
                <w:sz w:val="24"/>
                <w:szCs w:val="24"/>
              </w:rPr>
            </w:pPr>
            <w:r>
              <w:rPr>
                <w:sz w:val="24"/>
                <w:szCs w:val="24"/>
              </w:rPr>
              <w:t>93,6</w:t>
            </w:r>
          </w:p>
        </w:tc>
        <w:tc>
          <w:tcPr>
            <w:tcW w:w="1273"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01" w:leader="none"/>
              </w:tabs>
              <w:spacing w:lineRule="exact" w:line="300"/>
              <w:rPr>
                <w:sz w:val="24"/>
                <w:szCs w:val="24"/>
              </w:rPr>
            </w:pPr>
            <w:r>
              <w:rPr>
                <w:sz w:val="24"/>
                <w:szCs w:val="24"/>
              </w:rPr>
              <w:t>84,2</w:t>
            </w:r>
          </w:p>
        </w:tc>
        <w:tc>
          <w:tcPr>
            <w:tcW w:w="1444" w:type="dxa"/>
            <w:tcBorders>
              <w:top w:val="dotted" w:sz="4" w:space="0" w:color="000000"/>
              <w:left w:val="dotted" w:sz="4" w:space="0" w:color="000000"/>
              <w:bottom w:val="dotted" w:sz="4" w:space="0" w:color="000000"/>
              <w:right w:val="double" w:sz="4" w:space="0" w:color="000000"/>
            </w:tcBorders>
            <w:vAlign w:val="center"/>
          </w:tcPr>
          <w:p>
            <w:pPr>
              <w:pStyle w:val="Normal"/>
              <w:widowControl w:val="false"/>
              <w:tabs>
                <w:tab w:val="clear" w:pos="708"/>
                <w:tab w:val="decimal" w:pos="635" w:leader="none"/>
              </w:tabs>
              <w:spacing w:lineRule="exact" w:line="300"/>
              <w:rPr>
                <w:sz w:val="24"/>
                <w:szCs w:val="24"/>
                <w:lang w:val="en-US"/>
              </w:rPr>
            </w:pPr>
            <w:r>
              <w:rPr>
                <w:sz w:val="24"/>
                <w:szCs w:val="24"/>
                <w:lang w:val="en-US"/>
              </w:rPr>
              <w:t>81,9</w:t>
            </w:r>
          </w:p>
        </w:tc>
      </w:tr>
      <w:tr>
        <w:trPr/>
        <w:tc>
          <w:tcPr>
            <w:tcW w:w="2018"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exact" w:line="300"/>
              <w:jc w:val="center"/>
              <w:rPr>
                <w:sz w:val="24"/>
                <w:szCs w:val="24"/>
              </w:rPr>
            </w:pPr>
            <w:r>
              <w:rPr>
                <w:sz w:val="24"/>
                <w:szCs w:val="24"/>
              </w:rPr>
              <w:t>2021</w:t>
            </w:r>
          </w:p>
        </w:tc>
        <w:tc>
          <w:tcPr>
            <w:tcW w:w="144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00" w:leader="none"/>
              </w:tabs>
              <w:spacing w:lineRule="exact" w:line="300"/>
              <w:rPr>
                <w:sz w:val="24"/>
                <w:szCs w:val="24"/>
              </w:rPr>
            </w:pPr>
            <w:r>
              <w:rPr>
                <w:sz w:val="24"/>
                <w:szCs w:val="24"/>
              </w:rPr>
              <w:t>1054,0</w:t>
            </w:r>
          </w:p>
        </w:tc>
        <w:tc>
          <w:tcPr>
            <w:tcW w:w="110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16" w:leader="none"/>
              </w:tabs>
              <w:spacing w:lineRule="exact" w:line="300"/>
              <w:rPr>
                <w:sz w:val="24"/>
                <w:szCs w:val="24"/>
              </w:rPr>
            </w:pPr>
            <w:r>
              <w:rPr>
                <w:sz w:val="24"/>
                <w:szCs w:val="24"/>
              </w:rPr>
              <w:t>278,2</w:t>
            </w:r>
          </w:p>
        </w:tc>
        <w:tc>
          <w:tcPr>
            <w:tcW w:w="1167"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48" w:leader="none"/>
              </w:tabs>
              <w:spacing w:lineRule="exact" w:line="300"/>
              <w:rPr>
                <w:sz w:val="24"/>
                <w:szCs w:val="24"/>
              </w:rPr>
            </w:pPr>
            <w:r>
              <w:rPr>
                <w:sz w:val="24"/>
                <w:szCs w:val="24"/>
              </w:rPr>
              <w:t>127,3</w:t>
            </w:r>
          </w:p>
        </w:tc>
        <w:tc>
          <w:tcPr>
            <w:tcW w:w="1251"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8" w:leader="none"/>
              </w:tabs>
              <w:spacing w:lineRule="exact" w:line="300"/>
              <w:rPr>
                <w:sz w:val="24"/>
                <w:szCs w:val="24"/>
              </w:rPr>
            </w:pPr>
            <w:r>
              <w:rPr>
                <w:sz w:val="24"/>
                <w:szCs w:val="24"/>
              </w:rPr>
              <w:t>132,1</w:t>
            </w:r>
          </w:p>
        </w:tc>
        <w:tc>
          <w:tcPr>
            <w:tcW w:w="1273"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01" w:leader="none"/>
              </w:tabs>
              <w:spacing w:lineRule="exact" w:line="300"/>
              <w:rPr>
                <w:sz w:val="24"/>
                <w:szCs w:val="24"/>
              </w:rPr>
            </w:pPr>
            <w:r>
              <w:rPr>
                <w:sz w:val="24"/>
                <w:szCs w:val="24"/>
              </w:rPr>
              <w:t>103,8</w:t>
            </w:r>
          </w:p>
        </w:tc>
        <w:tc>
          <w:tcPr>
            <w:tcW w:w="1444" w:type="dxa"/>
            <w:tcBorders>
              <w:top w:val="dotted" w:sz="4" w:space="0" w:color="000000"/>
              <w:left w:val="dotted" w:sz="4" w:space="0" w:color="000000"/>
              <w:bottom w:val="dotted" w:sz="4" w:space="0" w:color="000000"/>
              <w:right w:val="double" w:sz="4" w:space="0" w:color="000000"/>
            </w:tcBorders>
            <w:vAlign w:val="center"/>
          </w:tcPr>
          <w:p>
            <w:pPr>
              <w:pStyle w:val="Normal"/>
              <w:widowControl w:val="false"/>
              <w:tabs>
                <w:tab w:val="clear" w:pos="708"/>
                <w:tab w:val="decimal" w:pos="635" w:leader="none"/>
              </w:tabs>
              <w:spacing w:lineRule="exact" w:line="300"/>
              <w:rPr>
                <w:sz w:val="24"/>
                <w:szCs w:val="24"/>
                <w:lang w:val="en-US"/>
              </w:rPr>
            </w:pPr>
            <w:r>
              <w:rPr>
                <w:sz w:val="24"/>
                <w:szCs w:val="24"/>
                <w:lang w:val="en-US"/>
              </w:rPr>
              <w:t>108,5</w:t>
            </w:r>
          </w:p>
        </w:tc>
      </w:tr>
      <w:tr>
        <w:trPr/>
        <w:tc>
          <w:tcPr>
            <w:tcW w:w="2018" w:type="dxa"/>
            <w:tcBorders>
              <w:top w:val="dotted" w:sz="4" w:space="0" w:color="000000"/>
              <w:left w:val="double" w:sz="4" w:space="0" w:color="000000"/>
              <w:bottom w:val="dotted" w:sz="4" w:space="0" w:color="000000"/>
              <w:right w:val="dotted" w:sz="4" w:space="0" w:color="000000"/>
            </w:tcBorders>
            <w:vAlign w:val="center"/>
          </w:tcPr>
          <w:p>
            <w:pPr>
              <w:pStyle w:val="Normal"/>
              <w:widowControl w:val="false"/>
              <w:spacing w:lineRule="exact" w:line="300"/>
              <w:jc w:val="center"/>
              <w:rPr>
                <w:sz w:val="24"/>
                <w:szCs w:val="24"/>
              </w:rPr>
            </w:pPr>
            <w:r>
              <w:rPr>
                <w:sz w:val="24"/>
                <w:szCs w:val="24"/>
              </w:rPr>
              <w:t>2022</w:t>
            </w:r>
          </w:p>
        </w:tc>
        <w:tc>
          <w:tcPr>
            <w:tcW w:w="144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00" w:leader="none"/>
              </w:tabs>
              <w:spacing w:lineRule="exact" w:line="300"/>
              <w:rPr>
                <w:sz w:val="24"/>
                <w:szCs w:val="24"/>
              </w:rPr>
            </w:pPr>
            <w:r>
              <w:rPr>
                <w:sz w:val="24"/>
                <w:szCs w:val="24"/>
              </w:rPr>
              <w:t>831,8</w:t>
            </w:r>
          </w:p>
        </w:tc>
        <w:tc>
          <w:tcPr>
            <w:tcW w:w="1106"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16" w:leader="none"/>
              </w:tabs>
              <w:spacing w:lineRule="exact" w:line="300"/>
              <w:rPr>
                <w:sz w:val="24"/>
                <w:szCs w:val="24"/>
              </w:rPr>
            </w:pPr>
            <w:r>
              <w:rPr>
                <w:sz w:val="24"/>
                <w:szCs w:val="24"/>
              </w:rPr>
              <w:t>281,4</w:t>
            </w:r>
          </w:p>
        </w:tc>
        <w:tc>
          <w:tcPr>
            <w:tcW w:w="1167"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48" w:leader="none"/>
              </w:tabs>
              <w:spacing w:lineRule="exact" w:line="300"/>
              <w:rPr>
                <w:sz w:val="24"/>
                <w:szCs w:val="24"/>
              </w:rPr>
            </w:pPr>
            <w:r>
              <w:rPr>
                <w:sz w:val="24"/>
                <w:szCs w:val="24"/>
              </w:rPr>
              <w:t>141,9</w:t>
            </w:r>
          </w:p>
        </w:tc>
        <w:tc>
          <w:tcPr>
            <w:tcW w:w="1251"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568" w:leader="none"/>
              </w:tabs>
              <w:spacing w:lineRule="exact" w:line="300"/>
              <w:rPr>
                <w:sz w:val="24"/>
                <w:szCs w:val="24"/>
              </w:rPr>
            </w:pPr>
            <w:r>
              <w:rPr>
                <w:sz w:val="24"/>
                <w:szCs w:val="24"/>
              </w:rPr>
              <w:t>93,0</w:t>
            </w:r>
          </w:p>
        </w:tc>
        <w:tc>
          <w:tcPr>
            <w:tcW w:w="1273" w:type="dxa"/>
            <w:tcBorders>
              <w:top w:val="dotted" w:sz="4" w:space="0" w:color="000000"/>
              <w:left w:val="dotted" w:sz="4" w:space="0" w:color="000000"/>
              <w:bottom w:val="dotted" w:sz="4" w:space="0" w:color="000000"/>
              <w:right w:val="dotted" w:sz="4" w:space="0" w:color="000000"/>
            </w:tcBorders>
            <w:vAlign w:val="center"/>
          </w:tcPr>
          <w:p>
            <w:pPr>
              <w:pStyle w:val="Normal"/>
              <w:widowControl w:val="false"/>
              <w:tabs>
                <w:tab w:val="clear" w:pos="708"/>
                <w:tab w:val="decimal" w:pos="601" w:leader="none"/>
              </w:tabs>
              <w:spacing w:lineRule="exact" w:line="300"/>
              <w:rPr>
                <w:sz w:val="24"/>
                <w:szCs w:val="24"/>
              </w:rPr>
            </w:pPr>
            <w:r>
              <w:rPr>
                <w:sz w:val="24"/>
                <w:szCs w:val="24"/>
              </w:rPr>
              <w:t>95,4</w:t>
            </w:r>
          </w:p>
        </w:tc>
        <w:tc>
          <w:tcPr>
            <w:tcW w:w="1444" w:type="dxa"/>
            <w:tcBorders>
              <w:top w:val="dotted" w:sz="4" w:space="0" w:color="000000"/>
              <w:left w:val="dotted" w:sz="4" w:space="0" w:color="000000"/>
              <w:bottom w:val="dotted" w:sz="4" w:space="0" w:color="000000"/>
              <w:right w:val="double" w:sz="4" w:space="0" w:color="000000"/>
            </w:tcBorders>
            <w:vAlign w:val="center"/>
          </w:tcPr>
          <w:p>
            <w:pPr>
              <w:pStyle w:val="Normal"/>
              <w:widowControl w:val="false"/>
              <w:tabs>
                <w:tab w:val="clear" w:pos="708"/>
                <w:tab w:val="decimal" w:pos="635" w:leader="none"/>
              </w:tabs>
              <w:spacing w:lineRule="exact" w:line="300"/>
              <w:rPr/>
            </w:pPr>
            <w:r>
              <w:rPr>
                <w:sz w:val="24"/>
                <w:szCs w:val="24"/>
                <w:lang w:val="en-US"/>
              </w:rPr>
              <w:t>110,1</w:t>
            </w:r>
          </w:p>
        </w:tc>
      </w:tr>
      <w:tr>
        <w:trPr/>
        <w:tc>
          <w:tcPr>
            <w:tcW w:w="201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exact" w:line="300"/>
              <w:jc w:val="center"/>
              <w:rPr>
                <w:rFonts w:eastAsia="Calibri"/>
                <w:sz w:val="24"/>
                <w:szCs w:val="24"/>
                <w:lang w:eastAsia="en-US"/>
              </w:rPr>
            </w:pPr>
            <w:r>
              <w:rPr>
                <w:rFonts w:eastAsia="Calibri"/>
                <w:sz w:val="24"/>
                <w:szCs w:val="24"/>
                <w:lang w:eastAsia="en-US"/>
              </w:rPr>
              <w:t>Динамика (%)</w:t>
            </w:r>
          </w:p>
        </w:tc>
        <w:tc>
          <w:tcPr>
            <w:tcW w:w="144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600" w:leader="none"/>
              </w:tabs>
              <w:spacing w:lineRule="exact" w:line="300"/>
              <w:rPr>
                <w:sz w:val="24"/>
                <w:szCs w:val="24"/>
              </w:rPr>
            </w:pPr>
            <w:r>
              <w:rPr>
                <w:sz w:val="24"/>
                <w:szCs w:val="24"/>
              </w:rPr>
              <w:t>-8,1</w:t>
            </w:r>
          </w:p>
        </w:tc>
        <w:tc>
          <w:tcPr>
            <w:tcW w:w="110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516" w:leader="none"/>
              </w:tabs>
              <w:spacing w:lineRule="exact" w:line="300"/>
              <w:rPr>
                <w:sz w:val="24"/>
                <w:szCs w:val="24"/>
              </w:rPr>
            </w:pPr>
            <w:r>
              <w:rPr>
                <w:sz w:val="24"/>
                <w:szCs w:val="24"/>
              </w:rPr>
              <w:t>+30,8</w:t>
            </w:r>
          </w:p>
        </w:tc>
        <w:tc>
          <w:tcPr>
            <w:tcW w:w="11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548" w:leader="none"/>
              </w:tabs>
              <w:spacing w:lineRule="exact" w:line="300"/>
              <w:rPr>
                <w:sz w:val="24"/>
                <w:szCs w:val="24"/>
              </w:rPr>
            </w:pPr>
            <w:r>
              <w:rPr>
                <w:sz w:val="24"/>
                <w:szCs w:val="24"/>
              </w:rPr>
              <w:t>-25,1</w:t>
            </w:r>
          </w:p>
        </w:tc>
        <w:tc>
          <w:tcPr>
            <w:tcW w:w="12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568" w:leader="none"/>
              </w:tabs>
              <w:spacing w:lineRule="exact" w:line="300"/>
              <w:rPr>
                <w:sz w:val="24"/>
                <w:szCs w:val="24"/>
              </w:rPr>
            </w:pPr>
            <w:r>
              <w:rPr>
                <w:sz w:val="24"/>
                <w:szCs w:val="24"/>
              </w:rPr>
              <w:t>- 0,6</w:t>
            </w:r>
          </w:p>
        </w:tc>
        <w:tc>
          <w:tcPr>
            <w:tcW w:w="127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601" w:leader="none"/>
              </w:tabs>
              <w:spacing w:lineRule="exact" w:line="300"/>
              <w:rPr>
                <w:sz w:val="24"/>
                <w:szCs w:val="24"/>
              </w:rPr>
            </w:pPr>
            <w:r>
              <w:rPr>
                <w:sz w:val="24"/>
                <w:szCs w:val="24"/>
              </w:rPr>
              <w:t>+13,3</w:t>
            </w:r>
          </w:p>
        </w:tc>
        <w:tc>
          <w:tcPr>
            <w:tcW w:w="144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08"/>
                <w:tab w:val="decimal" w:pos="635" w:leader="none"/>
              </w:tabs>
              <w:spacing w:lineRule="exact" w:line="300"/>
              <w:rPr>
                <w:sz w:val="24"/>
                <w:szCs w:val="24"/>
              </w:rPr>
            </w:pPr>
            <w:r>
              <w:rPr>
                <w:sz w:val="24"/>
                <w:szCs w:val="24"/>
              </w:rPr>
              <w:t>+34,4</w:t>
            </w:r>
          </w:p>
        </w:tc>
      </w:tr>
    </w:tbl>
    <w:p>
      <w:pPr>
        <w:pStyle w:val="Normal"/>
        <w:ind w:firstLine="709"/>
        <w:jc w:val="both"/>
        <w:rPr>
          <w:sz w:val="12"/>
          <w:szCs w:val="12"/>
        </w:rPr>
      </w:pPr>
      <w:r>
        <w:rPr>
          <w:sz w:val="12"/>
          <w:szCs w:val="12"/>
        </w:rPr>
      </w:r>
    </w:p>
    <w:p>
      <w:pPr>
        <w:pStyle w:val="Normal"/>
        <w:ind w:firstLine="709"/>
        <w:jc w:val="both"/>
        <w:rPr/>
      </w:pPr>
      <w:bookmarkStart w:id="5" w:name="_Hlk170459774"/>
      <w:r>
        <w:rPr>
          <w:bCs/>
          <w:sz w:val="28"/>
          <w:szCs w:val="28"/>
          <w:lang w:eastAsia="ru-RU"/>
        </w:rPr>
        <w:t>В Топкинском муниципальном округе с 2020 по 2022 годы отмечается увеличение показателей смертности</w:t>
      </w:r>
      <w:r>
        <w:rPr>
          <w:i/>
          <w:iCs/>
          <w:sz w:val="28"/>
          <w:szCs w:val="28"/>
        </w:rPr>
        <w:t xml:space="preserve"> </w:t>
      </w:r>
      <w:bookmarkEnd w:id="5"/>
      <w:r>
        <w:rPr>
          <w:sz w:val="28"/>
          <w:szCs w:val="28"/>
        </w:rPr>
        <w:t>по основным классам причин смерти: от новообразований на 30,8 %, болезней органов пищеварения на 13,3 %, инфекционных заболеваний на 34,4%.</w:t>
      </w:r>
    </w:p>
    <w:p>
      <w:pPr>
        <w:pStyle w:val="Normal"/>
        <w:ind w:firstLine="709"/>
        <w:jc w:val="both"/>
        <w:rPr>
          <w:sz w:val="16"/>
          <w:szCs w:val="16"/>
        </w:rPr>
      </w:pPr>
      <w:r>
        <w:rPr>
          <w:sz w:val="16"/>
          <w:szCs w:val="16"/>
        </w:rPr>
      </w:r>
    </w:p>
    <w:p>
      <w:pPr>
        <w:pStyle w:val="Normal"/>
        <w:ind w:firstLine="709"/>
        <w:jc w:val="center"/>
        <w:rPr>
          <w:sz w:val="28"/>
          <w:szCs w:val="28"/>
        </w:rPr>
      </w:pPr>
      <w:r>
        <w:rPr>
          <w:sz w:val="28"/>
          <w:szCs w:val="28"/>
        </w:rPr>
        <w:t>4.2 Смертность населения трудоспособного возраста</w:t>
      </w:r>
    </w:p>
    <w:p>
      <w:pPr>
        <w:pStyle w:val="Normal"/>
        <w:ind w:firstLine="709"/>
        <w:jc w:val="center"/>
        <w:rPr>
          <w:sz w:val="16"/>
          <w:szCs w:val="16"/>
        </w:rPr>
      </w:pPr>
      <w:r>
        <w:rPr>
          <w:sz w:val="16"/>
          <w:szCs w:val="16"/>
        </w:rPr>
      </w:r>
    </w:p>
    <w:p>
      <w:pPr>
        <w:pStyle w:val="Normal"/>
        <w:suppressAutoHyphens w:val="false"/>
        <w:ind w:firstLine="709"/>
        <w:jc w:val="both"/>
        <w:rPr>
          <w:rFonts w:eastAsia="Calibri"/>
          <w:sz w:val="28"/>
          <w:szCs w:val="28"/>
          <w:lang w:eastAsia="en-US"/>
        </w:rPr>
      </w:pPr>
      <w:r>
        <w:rPr>
          <w:rFonts w:eastAsia="Calibri"/>
          <w:sz w:val="28"/>
          <w:szCs w:val="28"/>
          <w:lang w:eastAsia="en-US"/>
        </w:rPr>
        <w:t>Трудоспособное население играет важную роль в демографической ситуации муниципального образования, так как является репродуктивным, трудовым, военным, интеллектуальным и экономическим потенциалом нашей страны, который зачастую вовлечен в трудовой процесс и не охвачен профилактическими мероприятиями.</w:t>
      </w:r>
    </w:p>
    <w:p>
      <w:pPr>
        <w:pStyle w:val="Normal"/>
        <w:ind w:firstLine="709"/>
        <w:jc w:val="both"/>
        <w:rPr>
          <w:rFonts w:eastAsia="Calibri"/>
          <w:lang w:eastAsia="en-US"/>
        </w:rPr>
      </w:pPr>
      <w:r>
        <w:rPr>
          <w:rFonts w:eastAsia="Calibri"/>
          <w:lang w:eastAsia="en-US"/>
        </w:rPr>
      </w:r>
    </w:p>
    <w:p>
      <w:pPr>
        <w:pStyle w:val="Normal"/>
        <w:suppressAutoHyphens w:val="false"/>
        <w:ind w:firstLine="709"/>
        <w:jc w:val="both"/>
        <w:rPr/>
      </w:pPr>
      <w:r>
        <w:rPr>
          <w:rFonts w:eastAsia="Calibri"/>
          <w:i/>
          <w:iCs/>
          <w:sz w:val="28"/>
          <w:szCs w:val="28"/>
          <w:lang w:eastAsia="en-US"/>
        </w:rPr>
        <w:t>Таблица 7.</w:t>
      </w:r>
      <w:r>
        <w:rPr>
          <w:rFonts w:eastAsia="Calibri" w:cs="Calibri" w:ascii="Calibri" w:hAnsi="Calibri"/>
          <w:i/>
          <w:iCs/>
          <w:sz w:val="28"/>
          <w:szCs w:val="28"/>
          <w:lang w:eastAsia="en-US"/>
        </w:rPr>
        <w:t xml:space="preserve"> </w:t>
      </w:r>
      <w:r>
        <w:rPr>
          <w:rFonts w:eastAsia="Calibri"/>
          <w:i/>
          <w:iCs/>
          <w:sz w:val="28"/>
          <w:szCs w:val="28"/>
          <w:lang w:eastAsia="en-US"/>
        </w:rPr>
        <w:t>Коэффициенты смертности населения в трудоспособном возрасте по основным классам причин смерти</w:t>
      </w:r>
      <w:r>
        <w:rPr>
          <w:rFonts w:eastAsia="Calibri" w:cs="Calibri" w:ascii="Calibri" w:hAnsi="Calibri"/>
          <w:i/>
          <w:iCs/>
          <w:sz w:val="28"/>
          <w:szCs w:val="28"/>
          <w:lang w:eastAsia="en-US"/>
        </w:rPr>
        <w:t xml:space="preserve"> (</w:t>
      </w:r>
      <w:r>
        <w:rPr>
          <w:rFonts w:eastAsia="Calibri"/>
          <w:i/>
          <w:iCs/>
          <w:sz w:val="28"/>
          <w:szCs w:val="28"/>
          <w:lang w:eastAsia="en-US"/>
        </w:rPr>
        <w:t>на 100 000 человек</w:t>
      </w:r>
      <w:r>
        <w:rPr>
          <w:rFonts w:eastAsia="Calibri" w:cs="Calibri" w:ascii="Calibri" w:hAnsi="Calibri"/>
          <w:i/>
          <w:iCs/>
          <w:sz w:val="28"/>
          <w:szCs w:val="28"/>
          <w:lang w:eastAsia="en-US"/>
        </w:rPr>
        <w:t xml:space="preserve"> </w:t>
      </w:r>
      <w:r>
        <w:rPr>
          <w:rFonts w:eastAsia="Calibri"/>
          <w:i/>
          <w:iCs/>
          <w:sz w:val="28"/>
          <w:szCs w:val="28"/>
          <w:lang w:eastAsia="en-US"/>
        </w:rPr>
        <w:t>населения соответствующего пола и возраста)</w:t>
      </w:r>
      <w:r>
        <w:rPr>
          <w:rFonts w:eastAsia="Calibri"/>
          <w:i/>
          <w:iCs/>
          <w:sz w:val="28"/>
          <w:szCs w:val="28"/>
          <w:vertAlign w:val="superscript"/>
          <w:lang w:eastAsia="en-US"/>
        </w:rPr>
        <w:t>1)</w:t>
      </w:r>
      <w:r>
        <w:rPr>
          <w:rFonts w:eastAsia="Calibri"/>
          <w:i/>
          <w:iCs/>
          <w:sz w:val="28"/>
          <w:szCs w:val="28"/>
          <w:lang w:eastAsia="en-US"/>
        </w:rPr>
        <w:t xml:space="preserve"> в 2015-2022 г.г.*</w:t>
      </w:r>
    </w:p>
    <w:p>
      <w:pPr>
        <w:pStyle w:val="Normal"/>
        <w:suppressAutoHyphens w:val="false"/>
        <w:ind w:firstLine="709"/>
        <w:jc w:val="both"/>
        <w:rPr>
          <w:rFonts w:eastAsia="Calibri"/>
          <w:i/>
          <w:i/>
          <w:iCs/>
          <w:sz w:val="28"/>
          <w:szCs w:val="28"/>
          <w:lang w:eastAsia="en-US"/>
        </w:rPr>
      </w:pPr>
      <w:r>
        <w:rPr>
          <w:rFonts w:eastAsia="Calibri"/>
          <w:i/>
          <w:iCs/>
          <w:sz w:val="28"/>
          <w:szCs w:val="28"/>
          <w:lang w:eastAsia="en-US"/>
        </w:rPr>
      </w:r>
    </w:p>
    <w:p>
      <w:pPr>
        <w:pStyle w:val="Normal"/>
        <w:suppressAutoHyphens w:val="false"/>
        <w:ind w:firstLine="709"/>
        <w:jc w:val="both"/>
        <w:rPr>
          <w:rFonts w:eastAsia="Calibri"/>
          <w:i/>
          <w:i/>
          <w:iCs/>
          <w:sz w:val="28"/>
          <w:szCs w:val="28"/>
          <w:lang w:eastAsia="en-US"/>
        </w:rPr>
      </w:pPr>
      <w:r>
        <w:rPr>
          <w:rFonts w:eastAsia="Calibri"/>
          <w:i/>
          <w:iCs/>
          <w:sz w:val="28"/>
          <w:szCs w:val="28"/>
          <w:lang w:eastAsia="en-US"/>
        </w:rPr>
      </w:r>
    </w:p>
    <w:tbl>
      <w:tblPr>
        <w:tblW w:w="10476" w:type="dxa"/>
        <w:jc w:val="center"/>
        <w:tblInd w:w="0" w:type="dxa"/>
        <w:tblLayout w:type="fixed"/>
        <w:tblCellMar>
          <w:top w:w="0" w:type="dxa"/>
          <w:left w:w="108" w:type="dxa"/>
          <w:bottom w:w="0" w:type="dxa"/>
          <w:right w:w="108" w:type="dxa"/>
        </w:tblCellMar>
      </w:tblPr>
      <w:tblGrid>
        <w:gridCol w:w="2103"/>
        <w:gridCol w:w="18"/>
        <w:gridCol w:w="924"/>
        <w:gridCol w:w="18"/>
        <w:gridCol w:w="858"/>
        <w:gridCol w:w="18"/>
        <w:gridCol w:w="885"/>
        <w:gridCol w:w="18"/>
        <w:gridCol w:w="807"/>
        <w:gridCol w:w="18"/>
        <w:gridCol w:w="908"/>
        <w:gridCol w:w="18"/>
        <w:gridCol w:w="858"/>
        <w:gridCol w:w="18"/>
        <w:gridCol w:w="806"/>
        <w:gridCol w:w="18"/>
        <w:gridCol w:w="918"/>
        <w:gridCol w:w="18"/>
        <w:gridCol w:w="1229"/>
        <w:gridCol w:w="18"/>
      </w:tblGrid>
      <w:tr>
        <w:trPr>
          <w:trHeight w:val="315" w:hRule="atLeast"/>
        </w:trPr>
        <w:tc>
          <w:tcPr>
            <w:tcW w:w="2121"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w:t>
            </w:r>
          </w:p>
        </w:tc>
        <w:tc>
          <w:tcPr>
            <w:tcW w:w="7108" w:type="dxa"/>
            <w:gridSpan w:val="16"/>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мужчины и женщины </w:t>
            </w:r>
          </w:p>
        </w:tc>
        <w:tc>
          <w:tcPr>
            <w:tcW w:w="1247" w:type="dxa"/>
            <w:tcBorders>
              <w:top w:val="single" w:sz="4" w:space="0" w:color="000000"/>
              <w:left w:val="single" w:sz="4" w:space="0" w:color="000000"/>
              <w:bottom w:val="single" w:sz="4" w:space="0" w:color="000000"/>
              <w:right w:val="single" w:sz="4" w:space="0" w:color="000000"/>
            </w:tcBorders>
          </w:tcPr>
          <w:p>
            <w:pPr>
              <w:pStyle w:val="Normal"/>
              <w:suppressAutoHyphens w:val="false"/>
              <w:jc w:val="center"/>
              <w:rPr>
                <w:rFonts w:eastAsia="Calibri"/>
                <w:sz w:val="24"/>
                <w:szCs w:val="24"/>
                <w:lang w:eastAsia="en-US"/>
              </w:rPr>
            </w:pPr>
            <w:r>
              <w:rPr>
                <w:rFonts w:eastAsia="Calibri"/>
                <w:sz w:val="24"/>
                <w:szCs w:val="24"/>
                <w:lang w:eastAsia="en-US"/>
              </w:rPr>
              <w:t>Динамика (%)</w:t>
            </w:r>
          </w:p>
        </w:tc>
      </w:tr>
      <w:tr>
        <w:trPr>
          <w:trHeight w:val="300" w:hRule="atLeast"/>
        </w:trPr>
        <w:tc>
          <w:tcPr>
            <w:tcW w:w="2103"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rFonts w:ascii="Calibri" w:hAnsi="Calibri" w:eastAsia="Calibri" w:cs="Calibri"/>
                <w:color w:val="000000"/>
                <w:sz w:val="24"/>
                <w:szCs w:val="24"/>
                <w:lang w:eastAsia="ru-RU"/>
              </w:rPr>
            </w:pPr>
            <w:r>
              <w:rPr>
                <w:rFonts w:eastAsia="Calibri" w:cs="Calibri" w:ascii="Calibri" w:hAnsi="Calibri"/>
                <w:color w:val="000000"/>
                <w:sz w:val="24"/>
                <w:szCs w:val="24"/>
                <w:lang w:eastAsia="ru-RU"/>
              </w:rPr>
            </w:r>
          </w:p>
        </w:tc>
        <w:tc>
          <w:tcPr>
            <w:tcW w:w="942"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2015</w:t>
            </w:r>
          </w:p>
        </w:tc>
        <w:tc>
          <w:tcPr>
            <w:tcW w:w="87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2016</w:t>
            </w:r>
          </w:p>
        </w:tc>
        <w:tc>
          <w:tcPr>
            <w:tcW w:w="903"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2017</w:t>
            </w:r>
          </w:p>
        </w:tc>
        <w:tc>
          <w:tcPr>
            <w:tcW w:w="825"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2018</w:t>
            </w:r>
          </w:p>
        </w:tc>
        <w:tc>
          <w:tcPr>
            <w:tcW w:w="92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2019</w:t>
            </w:r>
          </w:p>
        </w:tc>
        <w:tc>
          <w:tcPr>
            <w:tcW w:w="87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2020</w:t>
            </w:r>
          </w:p>
        </w:tc>
        <w:tc>
          <w:tcPr>
            <w:tcW w:w="824"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2021</w:t>
            </w:r>
          </w:p>
        </w:tc>
        <w:tc>
          <w:tcPr>
            <w:tcW w:w="93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2022**</w:t>
            </w:r>
          </w:p>
        </w:tc>
        <w:tc>
          <w:tcPr>
            <w:tcW w:w="1247" w:type="dxa"/>
            <w:gridSpan w:val="2"/>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jc w:val="center"/>
              <w:rPr>
                <w:color w:val="000000"/>
                <w:sz w:val="24"/>
                <w:szCs w:val="24"/>
                <w:lang w:eastAsia="ru-RU"/>
              </w:rPr>
            </w:pPr>
            <w:r>
              <w:rPr>
                <w:color w:val="000000"/>
                <w:sz w:val="24"/>
                <w:szCs w:val="24"/>
                <w:lang w:eastAsia="ru-RU"/>
              </w:rPr>
            </w:r>
          </w:p>
        </w:tc>
      </w:tr>
      <w:tr>
        <w:trPr>
          <w:trHeight w:val="288" w:hRule="atLeast"/>
        </w:trPr>
        <w:tc>
          <w:tcPr>
            <w:tcW w:w="2121" w:type="dxa"/>
            <w:gridSpan w:val="2"/>
            <w:tcBorders>
              <w:top w:val="single" w:sz="4" w:space="0" w:color="000000"/>
              <w:left w:val="single" w:sz="4" w:space="0" w:color="000000"/>
              <w:bottom w:val="single" w:sz="4" w:space="0" w:color="000000"/>
              <w:right w:val="single" w:sz="4" w:space="0" w:color="000000"/>
            </w:tcBorders>
            <w:vAlign w:val="bottom"/>
          </w:tcPr>
          <w:p>
            <w:pPr>
              <w:pStyle w:val="Normal"/>
              <w:suppressAutoHyphens w:val="false"/>
              <w:rPr>
                <w:color w:val="000000"/>
                <w:sz w:val="24"/>
                <w:szCs w:val="24"/>
                <w:lang w:eastAsia="ru-RU"/>
              </w:rPr>
            </w:pPr>
            <w:r>
              <w:rPr>
                <w:color w:val="000000"/>
                <w:sz w:val="24"/>
                <w:szCs w:val="24"/>
                <w:lang w:eastAsia="ru-RU"/>
              </w:rPr>
              <w:t>Российская Федерация</w:t>
            </w:r>
          </w:p>
        </w:tc>
        <w:tc>
          <w:tcPr>
            <w:tcW w:w="942"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546,7</w:t>
            </w:r>
          </w:p>
        </w:tc>
        <w:tc>
          <w:tcPr>
            <w:tcW w:w="87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525,3</w:t>
            </w:r>
          </w:p>
        </w:tc>
        <w:tc>
          <w:tcPr>
            <w:tcW w:w="903"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484,5</w:t>
            </w:r>
          </w:p>
        </w:tc>
        <w:tc>
          <w:tcPr>
            <w:tcW w:w="825"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482,2</w:t>
            </w:r>
          </w:p>
        </w:tc>
        <w:tc>
          <w:tcPr>
            <w:tcW w:w="92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470</w:t>
            </w:r>
          </w:p>
        </w:tc>
        <w:tc>
          <w:tcPr>
            <w:tcW w:w="87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521,6</w:t>
            </w:r>
          </w:p>
        </w:tc>
        <w:tc>
          <w:tcPr>
            <w:tcW w:w="824"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560</w:t>
            </w:r>
          </w:p>
        </w:tc>
        <w:tc>
          <w:tcPr>
            <w:tcW w:w="93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491,4</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xml:space="preserve">- 10,1 </w:t>
            </w:r>
          </w:p>
        </w:tc>
      </w:tr>
      <w:tr>
        <w:trPr>
          <w:trHeight w:val="288" w:hRule="atLeast"/>
        </w:trPr>
        <w:tc>
          <w:tcPr>
            <w:tcW w:w="2121"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Кемеровская область - Кузбасс</w:t>
            </w:r>
          </w:p>
        </w:tc>
        <w:tc>
          <w:tcPr>
            <w:tcW w:w="942"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pPr>
            <w:r>
              <w:rPr>
                <w:color w:val="000000"/>
                <w:sz w:val="24"/>
                <w:szCs w:val="24"/>
                <w:lang w:eastAsia="ru-RU"/>
              </w:rPr>
              <w:t>753,8</w:t>
            </w:r>
          </w:p>
        </w:tc>
        <w:tc>
          <w:tcPr>
            <w:tcW w:w="87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724,3</w:t>
            </w:r>
          </w:p>
        </w:tc>
        <w:tc>
          <w:tcPr>
            <w:tcW w:w="903"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682,2</w:t>
            </w:r>
          </w:p>
        </w:tc>
        <w:tc>
          <w:tcPr>
            <w:tcW w:w="825"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703,8</w:t>
            </w:r>
          </w:p>
        </w:tc>
        <w:tc>
          <w:tcPr>
            <w:tcW w:w="92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696,9</w:t>
            </w:r>
          </w:p>
        </w:tc>
        <w:tc>
          <w:tcPr>
            <w:tcW w:w="87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745,6</w:t>
            </w:r>
          </w:p>
        </w:tc>
        <w:tc>
          <w:tcPr>
            <w:tcW w:w="824"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754,6</w:t>
            </w:r>
          </w:p>
        </w:tc>
        <w:tc>
          <w:tcPr>
            <w:tcW w:w="936"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727,9</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- 3,4</w:t>
            </w:r>
          </w:p>
        </w:tc>
      </w:tr>
      <w:tr>
        <w:trPr>
          <w:trHeight w:val="552" w:hRule="atLeast"/>
        </w:trPr>
        <w:tc>
          <w:tcPr>
            <w:tcW w:w="2121" w:type="dxa"/>
            <w:gridSpan w:val="2"/>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Топкинский муниципальный округ</w:t>
            </w:r>
          </w:p>
        </w:tc>
        <w:tc>
          <w:tcPr>
            <w:tcW w:w="942" w:type="dxa"/>
            <w:gridSpan w:val="2"/>
            <w:tcBorders>
              <w:top w:val="single" w:sz="4" w:space="0" w:color="000000"/>
              <w:left w:val="single" w:sz="4" w:space="0" w:color="000000"/>
              <w:bottom w:val="single" w:sz="4" w:space="0" w:color="000000"/>
              <w:right w:val="single" w:sz="4" w:space="0" w:color="000000"/>
            </w:tcBorders>
            <w:shd w:fill="FFFFFF" w:val="clear"/>
            <w:vAlign w:val="center"/>
          </w:tcPr>
          <w:p>
            <w:pPr>
              <w:pStyle w:val="Normal"/>
              <w:suppressAutoHyphens w:val="false"/>
              <w:jc w:val="center"/>
              <w:rPr>
                <w:color w:val="000000"/>
                <w:sz w:val="24"/>
                <w:szCs w:val="24"/>
              </w:rPr>
            </w:pPr>
            <w:r>
              <w:rPr>
                <w:color w:val="000000"/>
                <w:sz w:val="24"/>
                <w:szCs w:val="24"/>
              </w:rPr>
              <w:t>998,5</w:t>
            </w:r>
          </w:p>
        </w:tc>
        <w:tc>
          <w:tcPr>
            <w:tcW w:w="876" w:type="dxa"/>
            <w:gridSpan w:val="2"/>
            <w:tcBorders>
              <w:top w:val="single" w:sz="4" w:space="0" w:color="000000"/>
              <w:left w:val="single" w:sz="4" w:space="0" w:color="000000"/>
              <w:bottom w:val="single" w:sz="4" w:space="0" w:color="000000"/>
              <w:right w:val="single" w:sz="4" w:space="0" w:color="000000"/>
            </w:tcBorders>
            <w:shd w:fill="FFFFFF" w:val="clear"/>
            <w:vAlign w:val="center"/>
          </w:tcPr>
          <w:p>
            <w:pPr>
              <w:pStyle w:val="Normal"/>
              <w:suppressAutoHyphens w:val="false"/>
              <w:jc w:val="center"/>
              <w:rPr>
                <w:color w:val="000000"/>
                <w:sz w:val="24"/>
                <w:szCs w:val="24"/>
              </w:rPr>
            </w:pPr>
            <w:r>
              <w:rPr>
                <w:color w:val="000000"/>
                <w:sz w:val="24"/>
                <w:szCs w:val="24"/>
              </w:rPr>
              <w:t>1056,7</w:t>
            </w:r>
          </w:p>
        </w:tc>
        <w:tc>
          <w:tcPr>
            <w:tcW w:w="903" w:type="dxa"/>
            <w:gridSpan w:val="2"/>
            <w:tcBorders>
              <w:top w:val="single" w:sz="4" w:space="0" w:color="000000"/>
              <w:left w:val="single" w:sz="4" w:space="0" w:color="000000"/>
              <w:bottom w:val="single" w:sz="4" w:space="0" w:color="000000"/>
              <w:right w:val="single" w:sz="4" w:space="0" w:color="000000"/>
            </w:tcBorders>
            <w:shd w:fill="FFFFFF" w:val="clear"/>
            <w:vAlign w:val="center"/>
          </w:tcPr>
          <w:p>
            <w:pPr>
              <w:pStyle w:val="Normal"/>
              <w:suppressAutoHyphens w:val="false"/>
              <w:jc w:val="center"/>
              <w:rPr>
                <w:color w:val="000000"/>
                <w:sz w:val="24"/>
                <w:szCs w:val="24"/>
              </w:rPr>
            </w:pPr>
            <w:r>
              <w:rPr>
                <w:color w:val="000000"/>
                <w:sz w:val="24"/>
                <w:szCs w:val="24"/>
              </w:rPr>
              <w:t>834,3</w:t>
            </w:r>
          </w:p>
        </w:tc>
        <w:tc>
          <w:tcPr>
            <w:tcW w:w="825" w:type="dxa"/>
            <w:gridSpan w:val="2"/>
            <w:tcBorders>
              <w:top w:val="single" w:sz="4" w:space="0" w:color="000000"/>
              <w:left w:val="single" w:sz="4" w:space="0" w:color="000000"/>
              <w:bottom w:val="single" w:sz="4" w:space="0" w:color="000000"/>
              <w:right w:val="single" w:sz="4" w:space="0" w:color="000000"/>
            </w:tcBorders>
            <w:shd w:fill="FFFFFF" w:val="clear"/>
            <w:vAlign w:val="center"/>
          </w:tcPr>
          <w:p>
            <w:pPr>
              <w:pStyle w:val="Normal"/>
              <w:suppressAutoHyphens w:val="false"/>
              <w:jc w:val="center"/>
              <w:rPr>
                <w:color w:val="000000"/>
                <w:sz w:val="24"/>
                <w:szCs w:val="24"/>
              </w:rPr>
            </w:pPr>
            <w:r>
              <w:rPr>
                <w:color w:val="000000"/>
                <w:sz w:val="24"/>
                <w:szCs w:val="24"/>
              </w:rPr>
              <w:t>947,3</w:t>
            </w:r>
          </w:p>
        </w:tc>
        <w:tc>
          <w:tcPr>
            <w:tcW w:w="926" w:type="dxa"/>
            <w:gridSpan w:val="2"/>
            <w:tcBorders>
              <w:top w:val="single" w:sz="4" w:space="0" w:color="000000"/>
              <w:left w:val="single" w:sz="4" w:space="0" w:color="000000"/>
              <w:bottom w:val="single" w:sz="4" w:space="0" w:color="000000"/>
              <w:right w:val="single" w:sz="4" w:space="0" w:color="000000"/>
            </w:tcBorders>
            <w:shd w:fill="FFFFFF" w:val="clear"/>
            <w:vAlign w:val="center"/>
          </w:tcPr>
          <w:p>
            <w:pPr>
              <w:pStyle w:val="Normal"/>
              <w:suppressAutoHyphens w:val="false"/>
              <w:jc w:val="center"/>
              <w:rPr>
                <w:color w:val="000000"/>
                <w:sz w:val="24"/>
                <w:szCs w:val="24"/>
              </w:rPr>
            </w:pPr>
            <w:r>
              <w:rPr>
                <w:color w:val="000000"/>
                <w:sz w:val="24"/>
                <w:szCs w:val="24"/>
              </w:rPr>
              <w:t>1065,3</w:t>
            </w:r>
          </w:p>
        </w:tc>
        <w:tc>
          <w:tcPr>
            <w:tcW w:w="876" w:type="dxa"/>
            <w:gridSpan w:val="2"/>
            <w:tcBorders>
              <w:top w:val="single" w:sz="4" w:space="0" w:color="000000"/>
              <w:left w:val="single" w:sz="4" w:space="0" w:color="000000"/>
              <w:bottom w:val="single" w:sz="4" w:space="0" w:color="000000"/>
              <w:right w:val="single" w:sz="4" w:space="0" w:color="000000"/>
            </w:tcBorders>
            <w:shd w:fill="FFFFFF" w:val="clear"/>
            <w:vAlign w:val="center"/>
          </w:tcPr>
          <w:p>
            <w:pPr>
              <w:pStyle w:val="Normal"/>
              <w:suppressAutoHyphens w:val="false"/>
              <w:jc w:val="center"/>
              <w:rPr>
                <w:color w:val="000000"/>
                <w:sz w:val="24"/>
                <w:szCs w:val="24"/>
              </w:rPr>
            </w:pPr>
            <w:r>
              <w:rPr>
                <w:color w:val="000000"/>
                <w:sz w:val="24"/>
                <w:szCs w:val="24"/>
              </w:rPr>
              <w:t>1002,8</w:t>
            </w:r>
          </w:p>
        </w:tc>
        <w:tc>
          <w:tcPr>
            <w:tcW w:w="824" w:type="dxa"/>
            <w:gridSpan w:val="2"/>
            <w:tcBorders>
              <w:top w:val="single" w:sz="4" w:space="0" w:color="000000"/>
              <w:left w:val="single" w:sz="4" w:space="0" w:color="000000"/>
              <w:bottom w:val="single" w:sz="4" w:space="0" w:color="000000"/>
              <w:right w:val="single" w:sz="4" w:space="0" w:color="000000"/>
            </w:tcBorders>
            <w:shd w:fill="FFFFFF" w:val="clear"/>
            <w:vAlign w:val="center"/>
          </w:tcPr>
          <w:p>
            <w:pPr>
              <w:pStyle w:val="Normal"/>
              <w:suppressAutoHyphens w:val="false"/>
              <w:jc w:val="center"/>
              <w:rPr>
                <w:color w:val="000000"/>
                <w:sz w:val="24"/>
                <w:szCs w:val="24"/>
              </w:rPr>
            </w:pPr>
            <w:r>
              <w:rPr>
                <w:color w:val="000000"/>
                <w:sz w:val="24"/>
                <w:szCs w:val="24"/>
              </w:rPr>
              <w:t>977,7</w:t>
            </w:r>
          </w:p>
        </w:tc>
        <w:tc>
          <w:tcPr>
            <w:tcW w:w="936" w:type="dxa"/>
            <w:gridSpan w:val="2"/>
            <w:tcBorders>
              <w:top w:val="single" w:sz="4" w:space="0" w:color="000000"/>
              <w:left w:val="single" w:sz="4" w:space="0" w:color="000000"/>
              <w:bottom w:val="single" w:sz="4" w:space="0" w:color="000000"/>
              <w:right w:val="single" w:sz="4" w:space="0" w:color="000000"/>
            </w:tcBorders>
            <w:shd w:fill="FFFFFF" w:val="clear"/>
            <w:vAlign w:val="center"/>
          </w:tcPr>
          <w:p>
            <w:pPr>
              <w:pStyle w:val="Normal"/>
              <w:suppressAutoHyphens w:val="false"/>
              <w:jc w:val="center"/>
              <w:rPr>
                <w:color w:val="000000"/>
                <w:sz w:val="24"/>
                <w:szCs w:val="24"/>
              </w:rPr>
            </w:pPr>
            <w:r>
              <w:rPr>
                <w:color w:val="000000"/>
                <w:sz w:val="24"/>
                <w:szCs w:val="24"/>
              </w:rPr>
              <w:t>965,8</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- 3,3</w:t>
            </w:r>
          </w:p>
        </w:tc>
      </w:tr>
    </w:tbl>
    <w:p>
      <w:pPr>
        <w:pStyle w:val="Normal"/>
        <w:suppressAutoHyphens w:val="false"/>
        <w:spacing w:before="0" w:after="0"/>
        <w:ind w:firstLine="709"/>
        <w:contextualSpacing/>
        <w:jc w:val="right"/>
        <w:rPr>
          <w:sz w:val="16"/>
          <w:szCs w:val="16"/>
        </w:rPr>
      </w:pPr>
      <w:r>
        <w:rPr>
          <w:sz w:val="16"/>
          <w:szCs w:val="16"/>
        </w:rPr>
      </w:r>
    </w:p>
    <w:tbl>
      <w:tblPr>
        <w:tblW w:w="10443" w:type="dxa"/>
        <w:jc w:val="center"/>
        <w:tblInd w:w="0" w:type="dxa"/>
        <w:tblLayout w:type="fixed"/>
        <w:tblCellMar>
          <w:top w:w="0" w:type="dxa"/>
          <w:left w:w="108" w:type="dxa"/>
          <w:bottom w:w="0" w:type="dxa"/>
          <w:right w:w="108" w:type="dxa"/>
        </w:tblCellMar>
      </w:tblPr>
      <w:tblGrid>
        <w:gridCol w:w="2053"/>
        <w:gridCol w:w="876"/>
        <w:gridCol w:w="876"/>
        <w:gridCol w:w="876"/>
        <w:gridCol w:w="876"/>
        <w:gridCol w:w="882"/>
        <w:gridCol w:w="876"/>
        <w:gridCol w:w="882"/>
        <w:gridCol w:w="999"/>
        <w:gridCol w:w="1247"/>
      </w:tblGrid>
      <w:tr>
        <w:trPr>
          <w:trHeight w:val="300" w:hRule="atLeast"/>
        </w:trPr>
        <w:tc>
          <w:tcPr>
            <w:tcW w:w="205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w:t>
            </w:r>
          </w:p>
        </w:tc>
        <w:tc>
          <w:tcPr>
            <w:tcW w:w="7143" w:type="dxa"/>
            <w:gridSpan w:val="8"/>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мужчины</w:t>
            </w:r>
          </w:p>
        </w:tc>
        <w:tc>
          <w:tcPr>
            <w:tcW w:w="1247" w:type="dxa"/>
            <w:vMerge w:val="restart"/>
            <w:tcBorders>
              <w:top w:val="single" w:sz="4" w:space="0" w:color="000000"/>
              <w:left w:val="single" w:sz="4" w:space="0" w:color="000000"/>
              <w:bottom w:val="single" w:sz="4" w:space="0" w:color="000000"/>
              <w:right w:val="single" w:sz="4" w:space="0" w:color="000000"/>
            </w:tcBorders>
          </w:tcPr>
          <w:p>
            <w:pPr>
              <w:pStyle w:val="Normal"/>
              <w:suppressAutoHyphens w:val="false"/>
              <w:jc w:val="center"/>
              <w:rPr>
                <w:rFonts w:eastAsia="Calibri"/>
                <w:sz w:val="24"/>
                <w:szCs w:val="24"/>
                <w:lang w:eastAsia="en-US"/>
              </w:rPr>
            </w:pPr>
            <w:r>
              <w:rPr>
                <w:rFonts w:eastAsia="Calibri"/>
                <w:sz w:val="24"/>
                <w:szCs w:val="24"/>
                <w:lang w:eastAsia="en-US"/>
              </w:rPr>
              <w:t>Динамика (%)</w:t>
            </w:r>
          </w:p>
        </w:tc>
      </w:tr>
      <w:tr>
        <w:trPr>
          <w:trHeight w:val="300" w:hRule="atLeast"/>
        </w:trPr>
        <w:tc>
          <w:tcPr>
            <w:tcW w:w="205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rFonts w:eastAsia="Calibri"/>
                <w:color w:val="000000"/>
                <w:sz w:val="24"/>
                <w:szCs w:val="24"/>
                <w:lang w:eastAsia="ru-RU"/>
              </w:rPr>
            </w:pPr>
            <w:r>
              <w:rPr>
                <w:rFonts w:eastAsia="Calibri"/>
                <w:color w:val="000000"/>
                <w:sz w:val="24"/>
                <w:szCs w:val="24"/>
                <w:lang w:eastAsia="ru-RU"/>
              </w:rPr>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2015</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2016</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2017</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2018</w:t>
            </w:r>
          </w:p>
        </w:tc>
        <w:tc>
          <w:tcPr>
            <w:tcW w:w="88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2019</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2020</w:t>
            </w:r>
          </w:p>
        </w:tc>
        <w:tc>
          <w:tcPr>
            <w:tcW w:w="88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2021</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2022**</w:t>
            </w:r>
          </w:p>
        </w:tc>
        <w:tc>
          <w:tcPr>
            <w:tcW w:w="1247" w:type="dxa"/>
            <w:vMerge w:val="continue"/>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jc w:val="center"/>
              <w:rPr>
                <w:color w:val="000000"/>
                <w:sz w:val="24"/>
                <w:szCs w:val="24"/>
                <w:lang w:eastAsia="ru-RU"/>
              </w:rPr>
            </w:pPr>
            <w:r>
              <w:rPr>
                <w:color w:val="000000"/>
                <w:sz w:val="24"/>
                <w:szCs w:val="24"/>
                <w:lang w:eastAsia="ru-RU"/>
              </w:rPr>
            </w:r>
          </w:p>
        </w:tc>
      </w:tr>
      <w:tr>
        <w:trPr>
          <w:trHeight w:val="288" w:hRule="atLeast"/>
        </w:trPr>
        <w:tc>
          <w:tcPr>
            <w:tcW w:w="2053"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Кемеровская область - Кузбасс</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1122,5</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1088,2</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1002,3</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1035,8</w:t>
            </w:r>
          </w:p>
        </w:tc>
        <w:tc>
          <w:tcPr>
            <w:tcW w:w="88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1020,7</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1080,3</w:t>
            </w:r>
          </w:p>
        </w:tc>
        <w:tc>
          <w:tcPr>
            <w:tcW w:w="88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1089,6</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1078,9</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-3,9</w:t>
            </w:r>
          </w:p>
        </w:tc>
      </w:tr>
      <w:tr>
        <w:trPr>
          <w:trHeight w:val="552" w:hRule="atLeast"/>
        </w:trPr>
        <w:tc>
          <w:tcPr>
            <w:tcW w:w="2053"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Топкинский муниципальный округ</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1416,1</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1526,5</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1113,3</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1366,7</w:t>
            </w:r>
          </w:p>
        </w:tc>
        <w:tc>
          <w:tcPr>
            <w:tcW w:w="88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1534,2</w:t>
            </w:r>
          </w:p>
        </w:tc>
        <w:tc>
          <w:tcPr>
            <w:tcW w:w="8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1499,8</w:t>
            </w:r>
          </w:p>
        </w:tc>
        <w:tc>
          <w:tcPr>
            <w:tcW w:w="88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1315,3</w:t>
            </w:r>
          </w:p>
        </w:tc>
        <w:tc>
          <w:tcPr>
            <w:tcW w:w="99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1339,4</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-5,4</w:t>
            </w:r>
          </w:p>
        </w:tc>
      </w:tr>
    </w:tbl>
    <w:p>
      <w:pPr>
        <w:pStyle w:val="Normal"/>
        <w:suppressAutoHyphens w:val="false"/>
        <w:spacing w:before="0" w:after="0"/>
        <w:ind w:firstLine="709"/>
        <w:contextualSpacing/>
        <w:jc w:val="right"/>
        <w:rPr>
          <w:sz w:val="16"/>
          <w:szCs w:val="16"/>
        </w:rPr>
      </w:pPr>
      <w:r>
        <w:rPr>
          <w:sz w:val="16"/>
          <w:szCs w:val="16"/>
        </w:rPr>
      </w:r>
    </w:p>
    <w:tbl>
      <w:tblPr>
        <w:tblW w:w="10501" w:type="dxa"/>
        <w:jc w:val="center"/>
        <w:tblInd w:w="0" w:type="dxa"/>
        <w:tblLayout w:type="fixed"/>
        <w:tblCellMar>
          <w:top w:w="0" w:type="dxa"/>
          <w:left w:w="108" w:type="dxa"/>
          <w:bottom w:w="0" w:type="dxa"/>
          <w:right w:w="108" w:type="dxa"/>
        </w:tblCellMar>
      </w:tblPr>
      <w:tblGrid>
        <w:gridCol w:w="2410"/>
        <w:gridCol w:w="849"/>
        <w:gridCol w:w="850"/>
        <w:gridCol w:w="851"/>
        <w:gridCol w:w="851"/>
        <w:gridCol w:w="851"/>
        <w:gridCol w:w="851"/>
        <w:gridCol w:w="801"/>
        <w:gridCol w:w="936"/>
        <w:gridCol w:w="1251"/>
      </w:tblGrid>
      <w:tr>
        <w:trPr>
          <w:trHeight w:val="315" w:hRule="atLeast"/>
        </w:trPr>
        <w:tc>
          <w:tcPr>
            <w:tcW w:w="2410" w:type="dxa"/>
            <w:vMerge w:val="restart"/>
            <w:tcBorders>
              <w:top w:val="single" w:sz="4" w:space="0" w:color="000000"/>
              <w:left w:val="single" w:sz="4" w:space="0" w:color="000000"/>
              <w:bottom w:val="single" w:sz="4" w:space="0" w:color="000000"/>
              <w:right w:val="single" w:sz="4" w:space="0" w:color="000000"/>
            </w:tcBorders>
          </w:tcPr>
          <w:p>
            <w:pPr>
              <w:pStyle w:val="Normal"/>
              <w:suppressAutoHyphens w:val="false"/>
              <w:jc w:val="center"/>
              <w:rPr>
                <w:color w:val="000000"/>
                <w:sz w:val="24"/>
                <w:szCs w:val="24"/>
                <w:lang w:eastAsia="ru-RU"/>
              </w:rPr>
            </w:pPr>
            <w:r>
              <w:rPr>
                <w:color w:val="000000"/>
                <w:sz w:val="24"/>
                <w:szCs w:val="24"/>
                <w:lang w:eastAsia="ru-RU"/>
              </w:rPr>
              <w:t> </w:t>
            </w:r>
          </w:p>
        </w:tc>
        <w:tc>
          <w:tcPr>
            <w:tcW w:w="6840" w:type="dxa"/>
            <w:gridSpan w:val="8"/>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женщины</w:t>
            </w:r>
          </w:p>
        </w:tc>
        <w:tc>
          <w:tcPr>
            <w:tcW w:w="1251" w:type="dxa"/>
            <w:vMerge w:val="restart"/>
            <w:tcBorders>
              <w:top w:val="single" w:sz="4" w:space="0" w:color="000000"/>
              <w:left w:val="single" w:sz="4" w:space="0" w:color="000000"/>
              <w:bottom w:val="single" w:sz="4" w:space="0" w:color="000000"/>
              <w:right w:val="single" w:sz="4" w:space="0" w:color="000000"/>
            </w:tcBorders>
          </w:tcPr>
          <w:p>
            <w:pPr>
              <w:pStyle w:val="Normal"/>
              <w:suppressAutoHyphens w:val="false"/>
              <w:jc w:val="center"/>
              <w:rPr>
                <w:rFonts w:eastAsia="Calibri"/>
                <w:sz w:val="24"/>
                <w:szCs w:val="24"/>
                <w:lang w:eastAsia="en-US"/>
              </w:rPr>
            </w:pPr>
            <w:r>
              <w:rPr>
                <w:rFonts w:eastAsia="Calibri"/>
                <w:sz w:val="24"/>
                <w:szCs w:val="24"/>
                <w:lang w:eastAsia="en-US"/>
              </w:rPr>
              <w:t>Динамика (%)</w:t>
            </w:r>
          </w:p>
        </w:tc>
      </w:tr>
      <w:tr>
        <w:trPr>
          <w:trHeight w:val="300" w:hRule="atLeast"/>
        </w:trPr>
        <w:tc>
          <w:tcPr>
            <w:tcW w:w="2410" w:type="dxa"/>
            <w:vMerge w:val="continue"/>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jc w:val="center"/>
              <w:rPr>
                <w:rFonts w:eastAsia="Calibri"/>
                <w:color w:val="000000"/>
                <w:sz w:val="24"/>
                <w:szCs w:val="24"/>
                <w:lang w:eastAsia="ru-RU"/>
              </w:rPr>
            </w:pPr>
            <w:r>
              <w:rPr>
                <w:rFonts w:eastAsia="Calibri"/>
                <w:color w:val="000000"/>
                <w:sz w:val="24"/>
                <w:szCs w:val="24"/>
                <w:lang w:eastAsia="ru-RU"/>
              </w:rPr>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2015</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2016</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2017</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2018</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2019</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2020</w:t>
            </w:r>
          </w:p>
        </w:tc>
        <w:tc>
          <w:tcPr>
            <w:tcW w:w="80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2021</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2022**</w:t>
            </w:r>
          </w:p>
        </w:tc>
        <w:tc>
          <w:tcPr>
            <w:tcW w:w="1251" w:type="dxa"/>
            <w:vMerge w:val="continue"/>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jc w:val="center"/>
              <w:rPr>
                <w:color w:val="000000"/>
                <w:sz w:val="24"/>
                <w:szCs w:val="24"/>
                <w:lang w:eastAsia="ru-RU"/>
              </w:rPr>
            </w:pPr>
            <w:r>
              <w:rPr>
                <w:color w:val="000000"/>
                <w:sz w:val="24"/>
                <w:szCs w:val="24"/>
                <w:lang w:eastAsia="ru-RU"/>
              </w:rPr>
            </w:r>
          </w:p>
        </w:tc>
      </w:tr>
      <w:tr>
        <w:trPr>
          <w:trHeight w:val="288" w:hRule="atLeast"/>
        </w:trPr>
        <w:tc>
          <w:tcPr>
            <w:tcW w:w="241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Кемеровская область - Кузбасс</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360,8</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334,2</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pPr>
            <w:r>
              <w:rPr>
                <w:color w:val="000000"/>
                <w:sz w:val="24"/>
                <w:szCs w:val="24"/>
                <w:lang w:eastAsia="ru-RU"/>
              </w:rPr>
              <w:t>337,8</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346,1</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348,6</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387,4</w:t>
            </w:r>
          </w:p>
        </w:tc>
        <w:tc>
          <w:tcPr>
            <w:tcW w:w="80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401,6</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364,3</w:t>
            </w:r>
          </w:p>
        </w:tc>
        <w:tc>
          <w:tcPr>
            <w:tcW w:w="12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+1,0</w:t>
            </w:r>
          </w:p>
        </w:tc>
      </w:tr>
      <w:tr>
        <w:trPr>
          <w:trHeight w:val="89" w:hRule="atLeast"/>
        </w:trPr>
        <w:tc>
          <w:tcPr>
            <w:tcW w:w="241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Топкинский муниципальный округ</w:t>
            </w:r>
          </w:p>
        </w:tc>
        <w:tc>
          <w:tcPr>
            <w:tcW w:w="84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536,8</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533,2</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521,0</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471,2</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536,9</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447,9</w:t>
            </w:r>
          </w:p>
        </w:tc>
        <w:tc>
          <w:tcPr>
            <w:tcW w:w="80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580,8</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568,2</w:t>
            </w:r>
          </w:p>
        </w:tc>
        <w:tc>
          <w:tcPr>
            <w:tcW w:w="125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+5,8</w:t>
            </w:r>
          </w:p>
        </w:tc>
      </w:tr>
    </w:tbl>
    <w:p>
      <w:pPr>
        <w:pStyle w:val="Normal"/>
        <w:suppressAutoHyphens w:val="false"/>
        <w:rPr/>
      </w:pPr>
      <w:r>
        <w:rPr>
          <w:bCs/>
          <w:sz w:val="22"/>
          <w:szCs w:val="22"/>
          <w:lang w:eastAsia="ru-RU"/>
        </w:rPr>
        <w:t>1)</w:t>
      </w:r>
      <w:r>
        <w:rPr>
          <w:rFonts w:eastAsia="+mn-ea"/>
          <w:bCs/>
          <w:color w:val="000000"/>
          <w:kern w:val="2"/>
          <w:sz w:val="22"/>
          <w:szCs w:val="22"/>
          <w:lang w:eastAsia="ru-RU"/>
        </w:rPr>
        <w:t xml:space="preserve"> с учетом итогов ВПН-2020         </w:t>
      </w:r>
    </w:p>
    <w:p>
      <w:pPr>
        <w:pStyle w:val="Normal"/>
        <w:suppressAutoHyphens w:val="false"/>
        <w:spacing w:before="0" w:after="0"/>
        <w:contextualSpacing/>
        <w:jc w:val="both"/>
        <w:rPr>
          <w:rFonts w:eastAsia="Calibri"/>
          <w:bCs/>
          <w:sz w:val="22"/>
          <w:szCs w:val="22"/>
          <w:lang w:eastAsia="en-US"/>
        </w:rPr>
      </w:pPr>
      <w:r>
        <w:rPr>
          <w:rFonts w:eastAsia="Calibri"/>
          <w:bCs/>
          <w:sz w:val="22"/>
          <w:szCs w:val="22"/>
          <w:lang w:eastAsia="en-US"/>
        </w:rPr>
        <w:t>* по данным Кемеровостата</w:t>
      </w:r>
    </w:p>
    <w:p>
      <w:pPr>
        <w:pStyle w:val="Normal"/>
        <w:suppressAutoHyphens w:val="false"/>
        <w:rPr>
          <w:rFonts w:eastAsia="+mn-ea"/>
          <w:bCs/>
          <w:color w:val="000000"/>
          <w:kern w:val="2"/>
          <w:sz w:val="22"/>
          <w:szCs w:val="22"/>
          <w:lang w:eastAsia="ru-RU"/>
        </w:rPr>
      </w:pPr>
      <w:r>
        <w:rPr>
          <w:rFonts w:eastAsia="+mn-ea"/>
          <w:bCs/>
          <w:color w:val="000000"/>
          <w:kern w:val="2"/>
          <w:sz w:val="22"/>
          <w:szCs w:val="22"/>
          <w:lang w:eastAsia="ru-RU"/>
        </w:rPr>
        <w:t>** - расчетные данные</w:t>
      </w:r>
    </w:p>
    <w:p>
      <w:pPr>
        <w:pStyle w:val="Normal"/>
        <w:ind w:firstLine="709"/>
        <w:jc w:val="both"/>
        <w:rPr/>
      </w:pPr>
      <w:r>
        <w:rPr>
          <w:bCs/>
          <w:sz w:val="28"/>
          <w:szCs w:val="28"/>
          <w:lang w:eastAsia="ru-RU"/>
        </w:rPr>
        <w:t>В Топкинском муниципальном округе с 2015 по 2022 годы отмечается увеличение показателей смертности</w:t>
      </w:r>
      <w:r>
        <w:rPr>
          <w:rFonts w:eastAsia="Calibri"/>
          <w:i/>
          <w:iCs/>
          <w:sz w:val="28"/>
          <w:szCs w:val="28"/>
          <w:lang w:eastAsia="en-US"/>
        </w:rPr>
        <w:t xml:space="preserve"> </w:t>
      </w:r>
      <w:r>
        <w:rPr>
          <w:rFonts w:eastAsia="Calibri"/>
          <w:sz w:val="28"/>
          <w:szCs w:val="28"/>
          <w:lang w:eastAsia="en-US"/>
        </w:rPr>
        <w:t>женщин в трудоспособном возрасте на 5,8%</w:t>
      </w:r>
    </w:p>
    <w:p>
      <w:pPr>
        <w:pStyle w:val="Normal"/>
        <w:ind w:firstLine="709"/>
        <w:jc w:val="both"/>
        <w:rPr>
          <w:sz w:val="28"/>
          <w:szCs w:val="28"/>
        </w:rPr>
      </w:pPr>
      <w:r>
        <w:rPr>
          <w:sz w:val="28"/>
          <w:szCs w:val="28"/>
        </w:rPr>
      </w:r>
    </w:p>
    <w:p>
      <w:pPr>
        <w:pStyle w:val="Normal"/>
        <w:suppressAutoHyphens w:val="false"/>
        <w:ind w:firstLine="709"/>
        <w:jc w:val="both"/>
        <w:rPr>
          <w:rFonts w:eastAsia="Calibri"/>
          <w:sz w:val="28"/>
          <w:szCs w:val="28"/>
          <w:lang w:eastAsia="en-US"/>
        </w:rPr>
      </w:pPr>
      <w:r>
        <w:rPr>
          <w:rFonts w:eastAsia="Calibri"/>
          <w:sz w:val="28"/>
          <w:szCs w:val="28"/>
          <w:lang w:eastAsia="en-US"/>
        </w:rPr>
        <w:t xml:space="preserve">Среди внешних причин смертности населения трудоспособного возраста выделяют несколько групп: случайные отравления алкоголем; от всех видов транспортных несчастных случаев, в том числе от дорожно-транспортных происшествий; от самоубийств; от убийств; от повреждений с неопределенными намерениями; от случайных падений; от случайных утоплений; от случайных несчастных случаев, вызванных воздействием огня и пламени. </w:t>
      </w:r>
    </w:p>
    <w:p>
      <w:pPr>
        <w:pStyle w:val="Normal"/>
        <w:ind w:firstLine="709"/>
        <w:jc w:val="both"/>
        <w:rPr>
          <w:rFonts w:eastAsia="Calibri"/>
          <w:sz w:val="28"/>
          <w:szCs w:val="28"/>
          <w:lang w:eastAsia="en-US"/>
        </w:rPr>
      </w:pPr>
      <w:r>
        <w:rPr>
          <w:rFonts w:eastAsia="Calibri"/>
          <w:sz w:val="28"/>
          <w:szCs w:val="28"/>
          <w:lang w:eastAsia="en-US"/>
        </w:rPr>
      </w:r>
    </w:p>
    <w:p>
      <w:pPr>
        <w:pStyle w:val="Normal"/>
        <w:suppressAutoHyphens w:val="false"/>
        <w:ind w:firstLine="709"/>
        <w:jc w:val="both"/>
        <w:rPr/>
      </w:pPr>
      <w:r>
        <w:rPr>
          <w:rFonts w:eastAsia="Calibri"/>
          <w:bCs/>
          <w:i/>
          <w:iCs/>
          <w:sz w:val="28"/>
          <w:szCs w:val="28"/>
          <w:lang w:eastAsia="en-US"/>
        </w:rPr>
        <w:t>Таблица 8.</w:t>
      </w:r>
      <w:r>
        <w:rPr>
          <w:rFonts w:eastAsia="Calibri" w:cs="Calibri" w:ascii="Calibri" w:hAnsi="Calibri"/>
          <w:bCs/>
          <w:i/>
          <w:iCs/>
          <w:sz w:val="28"/>
          <w:szCs w:val="28"/>
          <w:lang w:eastAsia="en-US"/>
        </w:rPr>
        <w:t xml:space="preserve"> </w:t>
      </w:r>
      <w:r>
        <w:rPr>
          <w:rFonts w:eastAsia="Calibri"/>
          <w:bCs/>
          <w:i/>
          <w:iCs/>
          <w:sz w:val="28"/>
          <w:szCs w:val="28"/>
          <w:lang w:eastAsia="en-US"/>
        </w:rPr>
        <w:t>Коэффициенты смертности населения в трудоспособном возрасте от внешних причин смерти в 2015 - 2022 г.г. (на 100 тыс. нас.)*</w:t>
      </w:r>
    </w:p>
    <w:tbl>
      <w:tblPr>
        <w:tblW w:w="9333" w:type="dxa"/>
        <w:jc w:val="center"/>
        <w:tblInd w:w="0" w:type="dxa"/>
        <w:tblLayout w:type="fixed"/>
        <w:tblCellMar>
          <w:top w:w="0" w:type="dxa"/>
          <w:left w:w="108" w:type="dxa"/>
          <w:bottom w:w="0" w:type="dxa"/>
          <w:right w:w="108" w:type="dxa"/>
        </w:tblCellMar>
      </w:tblPr>
      <w:tblGrid>
        <w:gridCol w:w="1830"/>
        <w:gridCol w:w="756"/>
        <w:gridCol w:w="756"/>
        <w:gridCol w:w="756"/>
        <w:gridCol w:w="756"/>
        <w:gridCol w:w="762"/>
        <w:gridCol w:w="756"/>
        <w:gridCol w:w="756"/>
        <w:gridCol w:w="936"/>
        <w:gridCol w:w="1269"/>
      </w:tblGrid>
      <w:tr>
        <w:trPr>
          <w:trHeight w:val="183" w:hRule="atLeast"/>
        </w:trPr>
        <w:tc>
          <w:tcPr>
            <w:tcW w:w="1830"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w:t>
            </w:r>
          </w:p>
          <w:p>
            <w:pPr>
              <w:pStyle w:val="Normal"/>
              <w:suppressAutoHyphens w:val="false"/>
              <w:jc w:val="center"/>
              <w:rPr>
                <w:color w:val="000000"/>
                <w:sz w:val="24"/>
                <w:szCs w:val="24"/>
                <w:lang w:eastAsia="ru-RU"/>
              </w:rPr>
            </w:pPr>
            <w:r>
              <w:rPr>
                <w:color w:val="000000"/>
                <w:sz w:val="24"/>
                <w:szCs w:val="24"/>
                <w:lang w:eastAsia="ru-RU"/>
              </w:rPr>
              <w:t> </w:t>
            </w:r>
          </w:p>
        </w:tc>
        <w:tc>
          <w:tcPr>
            <w:tcW w:w="6234" w:type="dxa"/>
            <w:gridSpan w:val="8"/>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мужчины и женщины </w:t>
            </w:r>
          </w:p>
        </w:tc>
        <w:tc>
          <w:tcPr>
            <w:tcW w:w="1269"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w:t>
            </w:r>
          </w:p>
          <w:p>
            <w:pPr>
              <w:pStyle w:val="Normal"/>
              <w:suppressAutoHyphens w:val="false"/>
              <w:jc w:val="center"/>
              <w:rPr>
                <w:color w:val="000000"/>
                <w:sz w:val="24"/>
                <w:szCs w:val="24"/>
                <w:lang w:eastAsia="ru-RU"/>
              </w:rPr>
            </w:pPr>
            <w:r>
              <w:rPr>
                <w:color w:val="000000"/>
                <w:sz w:val="24"/>
                <w:szCs w:val="24"/>
                <w:lang w:eastAsia="ru-RU"/>
              </w:rPr>
              <w:t>Динамика (%)</w:t>
            </w:r>
          </w:p>
        </w:tc>
      </w:tr>
      <w:tr>
        <w:trPr>
          <w:trHeight w:val="564" w:hRule="atLeast"/>
        </w:trPr>
        <w:tc>
          <w:tcPr>
            <w:tcW w:w="183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color w:val="000000"/>
                <w:sz w:val="24"/>
                <w:szCs w:val="24"/>
                <w:lang w:eastAsia="ru-RU"/>
              </w:rPr>
            </w:pPr>
            <w:r>
              <w:rPr>
                <w:color w:val="000000"/>
                <w:sz w:val="24"/>
                <w:szCs w:val="24"/>
                <w:lang w:eastAsia="ru-RU"/>
              </w:rPr>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2016</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2018</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2019</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2021</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2022**</w:t>
            </w:r>
          </w:p>
        </w:tc>
        <w:tc>
          <w:tcPr>
            <w:tcW w:w="126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color w:val="000000"/>
                <w:sz w:val="24"/>
                <w:szCs w:val="24"/>
                <w:lang w:eastAsia="ru-RU"/>
              </w:rPr>
            </w:pPr>
            <w:r>
              <w:rPr>
                <w:color w:val="000000"/>
                <w:sz w:val="24"/>
                <w:szCs w:val="24"/>
                <w:lang w:eastAsia="ru-RU"/>
              </w:rPr>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внешних причин</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297,4</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330,5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205,2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266,7</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261,7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257,6</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160,5</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205,3</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-30,9</w:t>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из них от:</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snapToGrid w:val="false"/>
              <w:jc w:val="right"/>
              <w:rPr>
                <w:color w:val="000000"/>
                <w:sz w:val="24"/>
                <w:szCs w:val="24"/>
                <w:lang w:eastAsia="ru-RU"/>
              </w:rPr>
            </w:pPr>
            <w:r>
              <w:rPr>
                <w:color w:val="000000"/>
                <w:sz w:val="24"/>
                <w:szCs w:val="24"/>
                <w:lang w:eastAsia="ru-RU"/>
              </w:rPr>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right"/>
              <w:rPr>
                <w:color w:val="000000"/>
                <w:sz w:val="24"/>
                <w:szCs w:val="24"/>
                <w:lang w:eastAsia="ru-RU"/>
              </w:rPr>
            </w:pPr>
            <w:r>
              <w:rPr>
                <w:color w:val="000000"/>
                <w:sz w:val="24"/>
                <w:szCs w:val="24"/>
                <w:lang w:eastAsia="ru-RU"/>
              </w:rPr>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всех видов транспортных несчастных случаев</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46,7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26,1</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26,8</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32,2</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30,1</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18,4</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13,8</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23,3</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-50,1</w:t>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случайных отравлений алкоголем</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46,7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87,0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35,7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41,4</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60,2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13,8</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9,2</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32,7</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-29,9</w:t>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прочих случайных отравлений</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pPr>
            <w:r>
              <w:rPr>
                <w:color w:val="000000"/>
                <w:sz w:val="24"/>
                <w:szCs w:val="24"/>
              </w:rPr>
              <w:t>17,0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39,1</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17,8</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41,4</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32,4</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18,4</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37,3</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Рост в 2,2 раза</w:t>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самоубийств</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68,0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73,9</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40,2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50,6</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44,0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46,0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45,8</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28,0</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Снижение в 2,4 раза</w:t>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убийств</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21,2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39,1</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36,8</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4,6</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13,8</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18,3</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4,7</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Снижение в 4,5 раза</w:t>
            </w:r>
          </w:p>
        </w:tc>
      </w:tr>
    </w:tbl>
    <w:p>
      <w:pPr>
        <w:pStyle w:val="Normal"/>
        <w:suppressAutoHyphens w:val="false"/>
        <w:spacing w:before="0" w:after="0"/>
        <w:ind w:firstLine="709"/>
        <w:contextualSpacing/>
        <w:jc w:val="right"/>
        <w:rPr/>
      </w:pPr>
      <w:r>
        <w:rPr/>
      </w:r>
    </w:p>
    <w:tbl>
      <w:tblPr>
        <w:tblW w:w="9333" w:type="dxa"/>
        <w:jc w:val="center"/>
        <w:tblInd w:w="0" w:type="dxa"/>
        <w:tblLayout w:type="fixed"/>
        <w:tblCellMar>
          <w:top w:w="0" w:type="dxa"/>
          <w:left w:w="108" w:type="dxa"/>
          <w:bottom w:w="0" w:type="dxa"/>
          <w:right w:w="108" w:type="dxa"/>
        </w:tblCellMar>
      </w:tblPr>
      <w:tblGrid>
        <w:gridCol w:w="1830"/>
        <w:gridCol w:w="756"/>
        <w:gridCol w:w="756"/>
        <w:gridCol w:w="756"/>
        <w:gridCol w:w="756"/>
        <w:gridCol w:w="762"/>
        <w:gridCol w:w="756"/>
        <w:gridCol w:w="756"/>
        <w:gridCol w:w="936"/>
        <w:gridCol w:w="1269"/>
      </w:tblGrid>
      <w:tr>
        <w:trPr>
          <w:trHeight w:val="300" w:hRule="atLeast"/>
        </w:trPr>
        <w:tc>
          <w:tcPr>
            <w:tcW w:w="1830"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w:t>
            </w:r>
          </w:p>
          <w:p>
            <w:pPr>
              <w:pStyle w:val="Normal"/>
              <w:suppressAutoHyphens w:val="false"/>
              <w:jc w:val="center"/>
              <w:rPr>
                <w:color w:val="000000"/>
                <w:sz w:val="24"/>
                <w:szCs w:val="24"/>
                <w:lang w:eastAsia="ru-RU"/>
              </w:rPr>
            </w:pPr>
            <w:r>
              <w:rPr>
                <w:color w:val="000000"/>
                <w:sz w:val="24"/>
                <w:szCs w:val="24"/>
                <w:lang w:eastAsia="ru-RU"/>
              </w:rPr>
              <w:t> </w:t>
            </w:r>
          </w:p>
        </w:tc>
        <w:tc>
          <w:tcPr>
            <w:tcW w:w="6234" w:type="dxa"/>
            <w:gridSpan w:val="8"/>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мужчины  </w:t>
            </w:r>
          </w:p>
        </w:tc>
        <w:tc>
          <w:tcPr>
            <w:tcW w:w="1269"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w:t>
            </w:r>
          </w:p>
          <w:p>
            <w:pPr>
              <w:pStyle w:val="Normal"/>
              <w:suppressAutoHyphens w:val="false"/>
              <w:jc w:val="center"/>
              <w:rPr>
                <w:color w:val="000000"/>
                <w:sz w:val="24"/>
                <w:szCs w:val="24"/>
                <w:lang w:eastAsia="ru-RU"/>
              </w:rPr>
            </w:pPr>
            <w:r>
              <w:rPr>
                <w:color w:val="000000"/>
                <w:sz w:val="24"/>
                <w:szCs w:val="24"/>
                <w:lang w:eastAsia="ru-RU"/>
              </w:rPr>
              <w:t>Динамика (%)</w:t>
            </w:r>
          </w:p>
        </w:tc>
      </w:tr>
      <w:tr>
        <w:trPr>
          <w:trHeight w:val="564" w:hRule="atLeast"/>
        </w:trPr>
        <w:tc>
          <w:tcPr>
            <w:tcW w:w="183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color w:val="000000"/>
                <w:sz w:val="24"/>
                <w:szCs w:val="24"/>
                <w:lang w:eastAsia="ru-RU"/>
              </w:rPr>
            </w:pPr>
            <w:r>
              <w:rPr>
                <w:color w:val="000000"/>
                <w:sz w:val="24"/>
                <w:szCs w:val="24"/>
                <w:lang w:eastAsia="ru-RU"/>
              </w:rPr>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2016</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2018</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2019</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2021</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2022**</w:t>
            </w:r>
          </w:p>
        </w:tc>
        <w:tc>
          <w:tcPr>
            <w:tcW w:w="126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color w:val="000000"/>
                <w:sz w:val="24"/>
                <w:szCs w:val="24"/>
                <w:lang w:eastAsia="ru-RU"/>
              </w:rPr>
            </w:pPr>
            <w:r>
              <w:rPr>
                <w:color w:val="000000"/>
                <w:sz w:val="24"/>
                <w:szCs w:val="24"/>
                <w:lang w:eastAsia="ru-RU"/>
              </w:rPr>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внешних причин</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501,7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519,8</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286,8</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389,3</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406,5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462,2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261,3</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343,9</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-31,5</w:t>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из них от:</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snapToGrid w:val="false"/>
              <w:jc w:val="right"/>
              <w:rPr>
                <w:color w:val="000000"/>
                <w:sz w:val="24"/>
                <w:szCs w:val="24"/>
                <w:lang w:eastAsia="ru-RU"/>
              </w:rPr>
            </w:pPr>
            <w:r>
              <w:rPr>
                <w:color w:val="000000"/>
                <w:sz w:val="24"/>
                <w:szCs w:val="24"/>
                <w:lang w:eastAsia="ru-RU"/>
              </w:rPr>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right"/>
              <w:rPr>
                <w:color w:val="000000"/>
                <w:sz w:val="24"/>
                <w:szCs w:val="24"/>
                <w:lang w:eastAsia="ru-RU"/>
              </w:rPr>
            </w:pPr>
            <w:r>
              <w:rPr>
                <w:color w:val="000000"/>
                <w:sz w:val="24"/>
                <w:szCs w:val="24"/>
                <w:lang w:eastAsia="ru-RU"/>
              </w:rPr>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всех видов транспортных несчастных случаев</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89,0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41,3</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33,7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51,9</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43,7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34,9</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17,4</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36,2</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Снижение в 2,5 раза</w:t>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случайных отравлений алкоголем</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89,0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pPr>
            <w:r>
              <w:rPr>
                <w:color w:val="000000"/>
                <w:sz w:val="24"/>
                <w:szCs w:val="24"/>
              </w:rPr>
              <w:t>123,8</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42,2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69,2</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96,2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17,4</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17,4</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45,2</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Снижение в 2,0 раза</w:t>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прочих случайных отравлений</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16,2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66,0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25,3</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69,2</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52,5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34,9</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72,4</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Рост в 4,5 раза</w:t>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самоубийств</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113,3</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132,0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67,5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69,2</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65,6</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78,5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78,4</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54,3</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Снижение в 2,1 раза</w:t>
            </w:r>
          </w:p>
        </w:tc>
      </w:tr>
      <w:tr>
        <w:trPr>
          <w:trHeight w:val="288" w:hRule="atLeast"/>
        </w:trPr>
        <w:tc>
          <w:tcPr>
            <w:tcW w:w="183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убийств</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32,4</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66,0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51,9</w:t>
            </w:r>
          </w:p>
        </w:tc>
        <w:tc>
          <w:tcPr>
            <w:tcW w:w="76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26,2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34,8</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w:t>
            </w:r>
          </w:p>
        </w:tc>
        <w:tc>
          <w:tcPr>
            <w:tcW w:w="126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pPr>
            <w:r>
              <w:rPr>
                <w:color w:val="000000"/>
                <w:sz w:val="24"/>
                <w:szCs w:val="24"/>
                <w:lang w:eastAsia="ru-RU"/>
              </w:rPr>
              <w:t>+7,4</w:t>
            </w:r>
          </w:p>
        </w:tc>
      </w:tr>
    </w:tbl>
    <w:p>
      <w:pPr>
        <w:pStyle w:val="Normal"/>
        <w:suppressAutoHyphens w:val="false"/>
        <w:spacing w:before="0" w:after="0"/>
        <w:ind w:firstLine="709"/>
        <w:contextualSpacing/>
        <w:jc w:val="right"/>
        <w:rPr/>
      </w:pPr>
      <w:r>
        <w:rPr/>
      </w:r>
    </w:p>
    <w:tbl>
      <w:tblPr>
        <w:tblW w:w="9333" w:type="dxa"/>
        <w:jc w:val="center"/>
        <w:tblInd w:w="0" w:type="dxa"/>
        <w:tblLayout w:type="fixed"/>
        <w:tblCellMar>
          <w:top w:w="0" w:type="dxa"/>
          <w:left w:w="108" w:type="dxa"/>
          <w:bottom w:w="0" w:type="dxa"/>
          <w:right w:w="108" w:type="dxa"/>
        </w:tblCellMar>
      </w:tblPr>
      <w:tblGrid>
        <w:gridCol w:w="2022"/>
        <w:gridCol w:w="705"/>
        <w:gridCol w:w="756"/>
        <w:gridCol w:w="756"/>
        <w:gridCol w:w="756"/>
        <w:gridCol w:w="745"/>
        <w:gridCol w:w="705"/>
        <w:gridCol w:w="705"/>
        <w:gridCol w:w="936"/>
        <w:gridCol w:w="1247"/>
      </w:tblGrid>
      <w:tr>
        <w:trPr>
          <w:trHeight w:val="158" w:hRule="atLeast"/>
        </w:trPr>
        <w:tc>
          <w:tcPr>
            <w:tcW w:w="2022"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w:t>
            </w:r>
          </w:p>
          <w:p>
            <w:pPr>
              <w:pStyle w:val="Normal"/>
              <w:suppressAutoHyphens w:val="false"/>
              <w:jc w:val="center"/>
              <w:rPr>
                <w:color w:val="000000"/>
                <w:sz w:val="24"/>
                <w:szCs w:val="24"/>
                <w:lang w:eastAsia="ru-RU"/>
              </w:rPr>
            </w:pPr>
            <w:r>
              <w:rPr>
                <w:color w:val="000000"/>
                <w:sz w:val="24"/>
                <w:szCs w:val="24"/>
                <w:lang w:eastAsia="ru-RU"/>
              </w:rPr>
              <w:t> </w:t>
            </w:r>
          </w:p>
        </w:tc>
        <w:tc>
          <w:tcPr>
            <w:tcW w:w="6064" w:type="dxa"/>
            <w:gridSpan w:val="8"/>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женщины </w:t>
            </w:r>
          </w:p>
        </w:tc>
        <w:tc>
          <w:tcPr>
            <w:tcW w:w="124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w:t>
            </w:r>
          </w:p>
          <w:p>
            <w:pPr>
              <w:pStyle w:val="Normal"/>
              <w:suppressAutoHyphens w:val="false"/>
              <w:jc w:val="center"/>
              <w:rPr>
                <w:color w:val="000000"/>
                <w:sz w:val="24"/>
                <w:szCs w:val="24"/>
                <w:lang w:eastAsia="ru-RU"/>
              </w:rPr>
            </w:pPr>
            <w:r>
              <w:rPr>
                <w:color w:val="000000"/>
                <w:sz w:val="24"/>
                <w:szCs w:val="24"/>
                <w:lang w:eastAsia="ru-RU"/>
              </w:rPr>
              <w:t>Динамика (%)</w:t>
            </w:r>
          </w:p>
        </w:tc>
      </w:tr>
      <w:tr>
        <w:trPr>
          <w:trHeight w:val="564" w:hRule="atLeast"/>
        </w:trPr>
        <w:tc>
          <w:tcPr>
            <w:tcW w:w="202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color w:val="000000"/>
                <w:sz w:val="24"/>
                <w:szCs w:val="24"/>
                <w:lang w:eastAsia="ru-RU"/>
              </w:rPr>
            </w:pPr>
            <w:r>
              <w:rPr>
                <w:color w:val="000000"/>
                <w:sz w:val="24"/>
                <w:szCs w:val="24"/>
                <w:lang w:eastAsia="ru-RU"/>
              </w:rPr>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2016</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2018</w:t>
            </w:r>
          </w:p>
        </w:tc>
        <w:tc>
          <w:tcPr>
            <w:tcW w:w="74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2019</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2020</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2021</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2022**</w:t>
            </w:r>
          </w:p>
        </w:tc>
        <w:tc>
          <w:tcPr>
            <w:tcW w:w="124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color w:val="000000"/>
                <w:sz w:val="24"/>
                <w:szCs w:val="24"/>
                <w:lang w:eastAsia="ru-RU"/>
              </w:rPr>
            </w:pPr>
            <w:r>
              <w:rPr>
                <w:color w:val="000000"/>
                <w:sz w:val="24"/>
                <w:szCs w:val="24"/>
                <w:lang w:eastAsia="ru-RU"/>
              </w:rPr>
            </w:r>
          </w:p>
        </w:tc>
      </w:tr>
      <w:tr>
        <w:trPr>
          <w:trHeight w:val="288" w:hRule="atLeast"/>
        </w:trPr>
        <w:tc>
          <w:tcPr>
            <w:tcW w:w="202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внешних причин</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71,6</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119,5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113,7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127,6</w:t>
            </w:r>
          </w:p>
        </w:tc>
        <w:tc>
          <w:tcPr>
            <w:tcW w:w="74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98,5</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29,2</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48,4</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57,8</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-19,3</w:t>
            </w:r>
          </w:p>
        </w:tc>
      </w:tr>
      <w:tr>
        <w:trPr>
          <w:trHeight w:val="288" w:hRule="atLeast"/>
        </w:trPr>
        <w:tc>
          <w:tcPr>
            <w:tcW w:w="202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из них от:</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4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 </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snapToGrid w:val="false"/>
              <w:jc w:val="right"/>
              <w:rPr>
                <w:color w:val="000000"/>
                <w:sz w:val="24"/>
                <w:szCs w:val="24"/>
                <w:lang w:eastAsia="ru-RU"/>
              </w:rPr>
            </w:pPr>
            <w:r>
              <w:rPr>
                <w:color w:val="000000"/>
                <w:sz w:val="24"/>
                <w:szCs w:val="24"/>
                <w:lang w:eastAsia="ru-RU"/>
              </w:rPr>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right"/>
              <w:rPr>
                <w:color w:val="000000"/>
                <w:sz w:val="24"/>
                <w:szCs w:val="24"/>
                <w:lang w:eastAsia="ru-RU"/>
              </w:rPr>
            </w:pPr>
            <w:r>
              <w:rPr>
                <w:color w:val="000000"/>
                <w:sz w:val="24"/>
                <w:szCs w:val="24"/>
                <w:lang w:eastAsia="ru-RU"/>
              </w:rPr>
            </w:r>
          </w:p>
        </w:tc>
      </w:tr>
      <w:tr>
        <w:trPr>
          <w:trHeight w:val="288" w:hRule="atLeast"/>
        </w:trPr>
        <w:tc>
          <w:tcPr>
            <w:tcW w:w="202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всех видов транспортных несчастных случаев</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18,9</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9,8</w:t>
            </w:r>
          </w:p>
        </w:tc>
        <w:tc>
          <w:tcPr>
            <w:tcW w:w="74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14,8</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9,7</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9,6</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+4,3</w:t>
            </w:r>
          </w:p>
        </w:tc>
      </w:tr>
      <w:tr>
        <w:trPr>
          <w:trHeight w:val="288" w:hRule="atLeast"/>
        </w:trPr>
        <w:tc>
          <w:tcPr>
            <w:tcW w:w="202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случайных отравлений алкоголем</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46,0</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28,4</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9,8</w:t>
            </w:r>
          </w:p>
        </w:tc>
        <w:tc>
          <w:tcPr>
            <w:tcW w:w="74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19,7</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9,7</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19,3</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-58,0</w:t>
            </w:r>
          </w:p>
        </w:tc>
      </w:tr>
      <w:tr>
        <w:trPr>
          <w:trHeight w:val="288" w:hRule="atLeast"/>
        </w:trPr>
        <w:tc>
          <w:tcPr>
            <w:tcW w:w="202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прочих случайных отравлений</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17,9</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9,8</w:t>
            </w:r>
          </w:p>
        </w:tc>
        <w:tc>
          <w:tcPr>
            <w:tcW w:w="74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9,9</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-44,7</w:t>
            </w:r>
          </w:p>
        </w:tc>
      </w:tr>
      <w:tr>
        <w:trPr>
          <w:trHeight w:val="288" w:hRule="atLeast"/>
        </w:trPr>
        <w:tc>
          <w:tcPr>
            <w:tcW w:w="202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самоубийств</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17,9</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29,4</w:t>
            </w:r>
          </w:p>
        </w:tc>
        <w:tc>
          <w:tcPr>
            <w:tcW w:w="74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19,7</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9,7</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9,7</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-45,8</w:t>
            </w:r>
          </w:p>
        </w:tc>
      </w:tr>
      <w:tr>
        <w:trPr>
          <w:trHeight w:val="288" w:hRule="atLeast"/>
        </w:trPr>
        <w:tc>
          <w:tcPr>
            <w:tcW w:w="202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убийств</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8,9</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9,2</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9,5</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19,6</w:t>
            </w:r>
          </w:p>
        </w:tc>
        <w:tc>
          <w:tcPr>
            <w:tcW w:w="74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9,9</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70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0,0</w:t>
            </w:r>
          </w:p>
        </w:tc>
        <w:tc>
          <w:tcPr>
            <w:tcW w:w="936" w:type="dxa"/>
            <w:tcBorders>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9,6</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lang w:eastAsia="ru-RU"/>
              </w:rPr>
            </w:pPr>
            <w:r>
              <w:rPr>
                <w:color w:val="000000"/>
                <w:sz w:val="24"/>
                <w:szCs w:val="24"/>
                <w:lang w:eastAsia="ru-RU"/>
              </w:rPr>
              <w:t>+7,9</w:t>
            </w:r>
          </w:p>
        </w:tc>
      </w:tr>
    </w:tbl>
    <w:p>
      <w:pPr>
        <w:pStyle w:val="Normal"/>
        <w:suppressAutoHyphens w:val="false"/>
        <w:spacing w:before="0" w:after="0"/>
        <w:ind w:firstLine="709"/>
        <w:contextualSpacing/>
        <w:jc w:val="both"/>
        <w:rPr>
          <w:rFonts w:eastAsia="Calibri"/>
          <w:bCs/>
          <w:sz w:val="24"/>
          <w:szCs w:val="24"/>
          <w:lang w:eastAsia="en-US"/>
        </w:rPr>
      </w:pPr>
      <w:r>
        <w:rPr>
          <w:rFonts w:eastAsia="Calibri"/>
          <w:bCs/>
          <w:sz w:val="24"/>
          <w:szCs w:val="24"/>
          <w:lang w:eastAsia="en-US"/>
        </w:rPr>
        <w:t>* по данным Кемеровостата</w:t>
      </w:r>
    </w:p>
    <w:p>
      <w:pPr>
        <w:pStyle w:val="Normal"/>
        <w:suppressAutoHyphens w:val="false"/>
        <w:spacing w:before="0" w:after="0"/>
        <w:ind w:firstLine="709"/>
        <w:contextualSpacing/>
        <w:jc w:val="both"/>
        <w:rPr>
          <w:rFonts w:eastAsia="Calibri"/>
          <w:bCs/>
          <w:sz w:val="24"/>
          <w:szCs w:val="24"/>
          <w:lang w:eastAsia="en-US"/>
        </w:rPr>
      </w:pPr>
      <w:r>
        <w:rPr>
          <w:rFonts w:eastAsia="Calibri"/>
          <w:bCs/>
          <w:sz w:val="24"/>
          <w:szCs w:val="24"/>
          <w:lang w:eastAsia="en-US"/>
        </w:rPr>
        <w:t>**-расчетные данные</w:t>
      </w:r>
    </w:p>
    <w:p>
      <w:pPr>
        <w:pStyle w:val="Normal"/>
        <w:ind w:firstLine="709"/>
        <w:jc w:val="both"/>
        <w:rPr>
          <w:rFonts w:eastAsia="Calibri"/>
          <w:bCs/>
          <w:sz w:val="24"/>
          <w:szCs w:val="24"/>
          <w:lang w:eastAsia="ru-RU"/>
        </w:rPr>
      </w:pPr>
      <w:r>
        <w:rPr>
          <w:rFonts w:eastAsia="Calibri"/>
          <w:bCs/>
          <w:sz w:val="24"/>
          <w:szCs w:val="24"/>
          <w:lang w:eastAsia="ru-RU"/>
        </w:rPr>
      </w:r>
    </w:p>
    <w:p>
      <w:pPr>
        <w:pStyle w:val="Normal"/>
        <w:ind w:firstLine="709"/>
        <w:jc w:val="both"/>
        <w:rPr/>
      </w:pPr>
      <w:r>
        <w:rPr>
          <w:bCs/>
          <w:sz w:val="28"/>
          <w:szCs w:val="28"/>
          <w:lang w:eastAsia="ru-RU"/>
        </w:rPr>
        <w:t>В Топкинском муниципальном округе с 2015 по 2022 годы отмечается увеличение</w:t>
      </w:r>
      <w:r>
        <w:rPr>
          <w:rFonts w:eastAsia="Calibri"/>
          <w:sz w:val="28"/>
          <w:szCs w:val="28"/>
          <w:lang w:eastAsia="en-US"/>
        </w:rPr>
        <w:t xml:space="preserve"> смертности населения в трудоспособном возрасте от </w:t>
      </w:r>
      <w:r>
        <w:rPr>
          <w:color w:val="000000"/>
          <w:sz w:val="28"/>
          <w:szCs w:val="28"/>
          <w:lang w:eastAsia="ru-RU"/>
        </w:rPr>
        <w:t xml:space="preserve">прочих случайных отравлений в 2,2 раза среди всего населения и в 4,5 раза среди мужчин. Смертность от убийств </w:t>
      </w:r>
      <w:r>
        <w:rPr>
          <w:bCs/>
          <w:sz w:val="28"/>
          <w:szCs w:val="28"/>
          <w:lang w:eastAsia="ru-RU"/>
        </w:rPr>
        <w:t>с 2015 по 2021 годы в Топкинском муниципальном округе увеличилась на 7,4 % среди мужчин, а среди женщин с 2015 по 2022 годы на 7,9 %</w:t>
      </w:r>
    </w:p>
    <w:p>
      <w:pPr>
        <w:pStyle w:val="Normal"/>
        <w:ind w:firstLine="709"/>
        <w:jc w:val="both"/>
        <w:rPr>
          <w:sz w:val="28"/>
          <w:szCs w:val="28"/>
        </w:rPr>
      </w:pPr>
      <w:r>
        <w:rPr>
          <w:sz w:val="28"/>
          <w:szCs w:val="28"/>
        </w:rPr>
      </w:r>
    </w:p>
    <w:p>
      <w:pPr>
        <w:pStyle w:val="Normal"/>
        <w:suppressAutoHyphens w:val="false"/>
        <w:spacing w:before="0" w:after="0"/>
        <w:ind w:firstLine="709"/>
        <w:contextualSpacing/>
        <w:rPr>
          <w:rFonts w:eastAsia="Calibri"/>
          <w:sz w:val="28"/>
          <w:szCs w:val="28"/>
          <w:lang w:eastAsia="en-US"/>
        </w:rPr>
      </w:pPr>
      <w:r>
        <w:rPr>
          <w:rFonts w:eastAsia="Calibri"/>
          <w:sz w:val="28"/>
          <w:szCs w:val="28"/>
          <w:lang w:eastAsia="en-US"/>
        </w:rPr>
        <w:t>4.3 Смертность от причин, обусловленных употреблением алкоголя</w:t>
      </w:r>
    </w:p>
    <w:p>
      <w:pPr>
        <w:pStyle w:val="Normal"/>
        <w:jc w:val="both"/>
        <w:rPr>
          <w:rFonts w:eastAsia="Calibri"/>
          <w:sz w:val="28"/>
          <w:szCs w:val="28"/>
          <w:u w:val="single"/>
          <w:lang w:eastAsia="en-US"/>
        </w:rPr>
      </w:pPr>
      <w:r>
        <w:rPr>
          <w:rFonts w:eastAsia="Calibri"/>
          <w:sz w:val="28"/>
          <w:szCs w:val="28"/>
          <w:u w:val="single"/>
          <w:lang w:eastAsia="en-US"/>
        </w:rPr>
      </w:r>
    </w:p>
    <w:p>
      <w:pPr>
        <w:pStyle w:val="Normal"/>
        <w:suppressAutoHyphens w:val="false"/>
        <w:spacing w:before="0" w:after="0"/>
        <w:ind w:firstLine="709"/>
        <w:contextualSpacing/>
        <w:jc w:val="both"/>
        <w:rPr>
          <w:rFonts w:eastAsia="Calibri"/>
          <w:i/>
          <w:i/>
          <w:iCs/>
          <w:sz w:val="28"/>
          <w:szCs w:val="28"/>
          <w:lang w:eastAsia="en-US"/>
        </w:rPr>
      </w:pPr>
      <w:r>
        <w:rPr>
          <w:rFonts w:eastAsia="Calibri"/>
          <w:i/>
          <w:iCs/>
          <w:sz w:val="28"/>
          <w:szCs w:val="28"/>
          <w:lang w:eastAsia="en-US"/>
        </w:rPr>
        <w:t xml:space="preserve">Таблица 9. Коэффициенты смертности населения от причин смерти, обусловленных употреблением алкоголя </w:t>
      </w:r>
      <w:bookmarkStart w:id="6" w:name="_Hlk170464782"/>
      <w:r>
        <w:rPr>
          <w:rFonts w:eastAsia="Calibri"/>
          <w:i/>
          <w:iCs/>
          <w:sz w:val="28"/>
          <w:szCs w:val="28"/>
          <w:lang w:eastAsia="en-US"/>
        </w:rPr>
        <w:t xml:space="preserve">в трудоспособном возрасте </w:t>
      </w:r>
      <w:bookmarkEnd w:id="6"/>
      <w:r>
        <w:rPr>
          <w:rFonts w:eastAsia="Calibri"/>
          <w:i/>
          <w:iCs/>
          <w:sz w:val="28"/>
          <w:szCs w:val="28"/>
          <w:lang w:eastAsia="en-US"/>
        </w:rPr>
        <w:t>в 2015-2022 г.г. (на 100 тыс. нас.)*</w:t>
      </w:r>
    </w:p>
    <w:p>
      <w:pPr>
        <w:pStyle w:val="Normal"/>
        <w:suppressAutoHyphens w:val="false"/>
        <w:spacing w:before="0" w:after="0"/>
        <w:ind w:firstLine="709"/>
        <w:contextualSpacing/>
        <w:jc w:val="both"/>
        <w:rPr>
          <w:rFonts w:eastAsia="Calibri"/>
          <w:i/>
          <w:i/>
          <w:iCs/>
          <w:sz w:val="28"/>
          <w:szCs w:val="28"/>
          <w:shd w:fill="FF0000" w:val="clear"/>
          <w:lang w:eastAsia="en-US"/>
        </w:rPr>
      </w:pPr>
      <w:r>
        <w:rPr>
          <w:rFonts w:eastAsia="Calibri"/>
          <w:i/>
          <w:iCs/>
          <w:sz w:val="28"/>
          <w:szCs w:val="28"/>
          <w:shd w:fill="FF0000" w:val="clear"/>
          <w:lang w:eastAsia="en-US"/>
        </w:rPr>
      </w:r>
    </w:p>
    <w:tbl>
      <w:tblPr>
        <w:tblW w:w="9871" w:type="dxa"/>
        <w:jc w:val="center"/>
        <w:tblInd w:w="0" w:type="dxa"/>
        <w:tblLayout w:type="fixed"/>
        <w:tblCellMar>
          <w:top w:w="0" w:type="dxa"/>
          <w:left w:w="108" w:type="dxa"/>
          <w:bottom w:w="0" w:type="dxa"/>
          <w:right w:w="108" w:type="dxa"/>
        </w:tblCellMar>
      </w:tblPr>
      <w:tblGrid>
        <w:gridCol w:w="1886"/>
        <w:gridCol w:w="827"/>
        <w:gridCol w:w="832"/>
        <w:gridCol w:w="825"/>
        <w:gridCol w:w="825"/>
        <w:gridCol w:w="831"/>
        <w:gridCol w:w="825"/>
        <w:gridCol w:w="825"/>
        <w:gridCol w:w="948"/>
        <w:gridCol w:w="1247"/>
      </w:tblGrid>
      <w:tr>
        <w:trPr>
          <w:trHeight w:val="300" w:hRule="atLeast"/>
        </w:trPr>
        <w:tc>
          <w:tcPr>
            <w:tcW w:w="188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color w:val="000000"/>
                <w:sz w:val="24"/>
                <w:szCs w:val="24"/>
                <w:lang w:eastAsia="ru-RU"/>
              </w:rPr>
            </w:pPr>
            <w:r>
              <w:rPr>
                <w:color w:val="000000"/>
                <w:sz w:val="24"/>
                <w:szCs w:val="24"/>
                <w:lang w:eastAsia="ru-RU"/>
              </w:rPr>
            </w:r>
          </w:p>
        </w:tc>
        <w:tc>
          <w:tcPr>
            <w:tcW w:w="6738" w:type="dxa"/>
            <w:gridSpan w:val="8"/>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мужчины и женщины</w:t>
            </w:r>
          </w:p>
        </w:tc>
        <w:tc>
          <w:tcPr>
            <w:tcW w:w="1247" w:type="dxa"/>
            <w:vMerge w:val="restart"/>
            <w:tcBorders>
              <w:top w:val="single" w:sz="4" w:space="0" w:color="000000"/>
              <w:left w:val="single" w:sz="4" w:space="0" w:color="000000"/>
              <w:bottom w:val="single" w:sz="4" w:space="0" w:color="000000"/>
              <w:right w:val="single" w:sz="4" w:space="0" w:color="000000"/>
            </w:tcBorders>
          </w:tcPr>
          <w:p>
            <w:pPr>
              <w:pStyle w:val="Normal"/>
              <w:suppressAutoHyphens w:val="false"/>
              <w:jc w:val="center"/>
              <w:rPr>
                <w:color w:val="000000"/>
                <w:sz w:val="24"/>
                <w:szCs w:val="24"/>
                <w:lang w:eastAsia="ru-RU"/>
              </w:rPr>
            </w:pPr>
            <w:r>
              <w:rPr>
                <w:color w:val="000000"/>
                <w:sz w:val="24"/>
                <w:szCs w:val="24"/>
                <w:lang w:eastAsia="ru-RU"/>
              </w:rPr>
              <w:t>Динамика (%)</w:t>
            </w:r>
          </w:p>
        </w:tc>
      </w:tr>
      <w:tr>
        <w:trPr>
          <w:trHeight w:val="564" w:hRule="atLeast"/>
        </w:trPr>
        <w:tc>
          <w:tcPr>
            <w:tcW w:w="188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rFonts w:eastAsia="Calibri"/>
                <w:color w:val="000000"/>
                <w:sz w:val="24"/>
                <w:szCs w:val="24"/>
                <w:lang w:eastAsia="ru-RU"/>
              </w:rPr>
            </w:pPr>
            <w:r>
              <w:rPr>
                <w:rFonts w:eastAsia="Calibri"/>
                <w:color w:val="000000"/>
                <w:sz w:val="24"/>
                <w:szCs w:val="24"/>
                <w:lang w:eastAsia="ru-RU"/>
              </w:rPr>
            </w:r>
          </w:p>
        </w:tc>
        <w:tc>
          <w:tcPr>
            <w:tcW w:w="82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2015</w:t>
            </w:r>
          </w:p>
        </w:tc>
        <w:tc>
          <w:tcPr>
            <w:tcW w:w="83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2016</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2017</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2018</w:t>
            </w:r>
          </w:p>
        </w:tc>
        <w:tc>
          <w:tcPr>
            <w:tcW w:w="83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2019</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2020</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2021</w:t>
            </w:r>
          </w:p>
        </w:tc>
        <w:tc>
          <w:tcPr>
            <w:tcW w:w="948"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2022**</w:t>
            </w:r>
          </w:p>
        </w:tc>
        <w:tc>
          <w:tcPr>
            <w:tcW w:w="1247" w:type="dxa"/>
            <w:vMerge w:val="continue"/>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jc w:val="center"/>
              <w:rPr>
                <w:color w:val="000000"/>
                <w:sz w:val="24"/>
                <w:szCs w:val="24"/>
                <w:lang w:eastAsia="ru-RU"/>
              </w:rPr>
            </w:pPr>
            <w:r>
              <w:rPr>
                <w:color w:val="000000"/>
                <w:sz w:val="24"/>
                <w:szCs w:val="24"/>
                <w:lang w:eastAsia="ru-RU"/>
              </w:rPr>
            </w:r>
          </w:p>
        </w:tc>
      </w:tr>
      <w:tr>
        <w:trPr>
          <w:trHeight w:val="552" w:hRule="atLeast"/>
        </w:trPr>
        <w:tc>
          <w:tcPr>
            <w:tcW w:w="188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Кемеровская область</w:t>
            </w:r>
          </w:p>
        </w:tc>
        <w:tc>
          <w:tcPr>
            <w:tcW w:w="82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66,7</w:t>
            </w:r>
          </w:p>
        </w:tc>
        <w:tc>
          <w:tcPr>
            <w:tcW w:w="83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62,7</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58,7</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62,1</w:t>
            </w:r>
          </w:p>
        </w:tc>
        <w:tc>
          <w:tcPr>
            <w:tcW w:w="83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66,4</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66,2</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61,1</w:t>
            </w:r>
          </w:p>
        </w:tc>
        <w:tc>
          <w:tcPr>
            <w:tcW w:w="948"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pacing w:lineRule="auto" w:line="252" w:before="0" w:after="160"/>
              <w:jc w:val="center"/>
              <w:rPr>
                <w:rFonts w:eastAsia="Calibri"/>
                <w:color w:val="000000"/>
                <w:sz w:val="24"/>
                <w:szCs w:val="24"/>
                <w:lang w:eastAsia="en-US"/>
              </w:rPr>
            </w:pPr>
            <w:r>
              <w:rPr>
                <w:rFonts w:eastAsia="Calibri"/>
                <w:color w:val="000000"/>
                <w:sz w:val="24"/>
                <w:szCs w:val="24"/>
                <w:lang w:eastAsia="en-US"/>
              </w:rPr>
              <w:t>64,5</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pPr>
            <w:r>
              <w:rPr>
                <w:color w:val="000000"/>
                <w:sz w:val="24"/>
                <w:szCs w:val="24"/>
                <w:lang w:eastAsia="ru-RU"/>
              </w:rPr>
              <w:t>-3,3</w:t>
            </w:r>
          </w:p>
        </w:tc>
      </w:tr>
      <w:tr>
        <w:trPr>
          <w:trHeight w:val="552" w:hRule="atLeast"/>
        </w:trPr>
        <w:tc>
          <w:tcPr>
            <w:tcW w:w="188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Топкинский муниципальный округ</w:t>
            </w:r>
          </w:p>
        </w:tc>
        <w:tc>
          <w:tcPr>
            <w:tcW w:w="82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76,5</w:t>
            </w:r>
          </w:p>
        </w:tc>
        <w:tc>
          <w:tcPr>
            <w:tcW w:w="832"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134,8</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62,5</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69,0</w:t>
            </w:r>
          </w:p>
        </w:tc>
        <w:tc>
          <w:tcPr>
            <w:tcW w:w="831"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115,8</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69,0</w:t>
            </w:r>
          </w:p>
        </w:tc>
        <w:tc>
          <w:tcPr>
            <w:tcW w:w="82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41,3</w:t>
            </w:r>
          </w:p>
        </w:tc>
        <w:tc>
          <w:tcPr>
            <w:tcW w:w="948"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88,6</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+15,8</w:t>
            </w:r>
          </w:p>
        </w:tc>
      </w:tr>
    </w:tbl>
    <w:p>
      <w:pPr>
        <w:pStyle w:val="Normal"/>
        <w:suppressAutoHyphens w:val="false"/>
        <w:spacing w:before="0" w:after="0"/>
        <w:ind w:firstLine="709"/>
        <w:contextualSpacing/>
        <w:jc w:val="right"/>
        <w:rPr/>
      </w:pPr>
      <w:r>
        <w:rPr/>
      </w:r>
    </w:p>
    <w:p>
      <w:pPr>
        <w:pStyle w:val="Normal"/>
        <w:suppressAutoHyphens w:val="false"/>
        <w:spacing w:before="0" w:after="0"/>
        <w:ind w:firstLine="709"/>
        <w:contextualSpacing/>
        <w:jc w:val="right"/>
        <w:rPr/>
      </w:pPr>
      <w:r>
        <w:rPr/>
      </w:r>
    </w:p>
    <w:p>
      <w:pPr>
        <w:pStyle w:val="Normal"/>
        <w:suppressAutoHyphens w:val="false"/>
        <w:spacing w:before="0" w:after="0"/>
        <w:ind w:firstLine="709"/>
        <w:contextualSpacing/>
        <w:jc w:val="right"/>
        <w:rPr/>
      </w:pPr>
      <w:r>
        <w:rPr/>
      </w:r>
    </w:p>
    <w:tbl>
      <w:tblPr>
        <w:tblW w:w="9831" w:type="dxa"/>
        <w:jc w:val="center"/>
        <w:tblInd w:w="0" w:type="dxa"/>
        <w:tblLayout w:type="fixed"/>
        <w:tblCellMar>
          <w:top w:w="0" w:type="dxa"/>
          <w:left w:w="108" w:type="dxa"/>
          <w:bottom w:w="0" w:type="dxa"/>
          <w:right w:w="108" w:type="dxa"/>
        </w:tblCellMar>
      </w:tblPr>
      <w:tblGrid>
        <w:gridCol w:w="2116"/>
        <w:gridCol w:w="809"/>
        <w:gridCol w:w="775"/>
        <w:gridCol w:w="776"/>
        <w:gridCol w:w="776"/>
        <w:gridCol w:w="810"/>
        <w:gridCol w:w="810"/>
        <w:gridCol w:w="776"/>
        <w:gridCol w:w="936"/>
        <w:gridCol w:w="1247"/>
      </w:tblGrid>
      <w:tr>
        <w:trPr>
          <w:trHeight w:val="300" w:hRule="atLeast"/>
        </w:trPr>
        <w:tc>
          <w:tcPr>
            <w:tcW w:w="211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w:t>
            </w:r>
          </w:p>
        </w:tc>
        <w:tc>
          <w:tcPr>
            <w:tcW w:w="6468" w:type="dxa"/>
            <w:gridSpan w:val="8"/>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мужчины </w:t>
            </w:r>
          </w:p>
        </w:tc>
        <w:tc>
          <w:tcPr>
            <w:tcW w:w="124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 </w:t>
            </w:r>
          </w:p>
          <w:p>
            <w:pPr>
              <w:pStyle w:val="Normal"/>
              <w:suppressAutoHyphens w:val="false"/>
              <w:jc w:val="center"/>
              <w:rPr>
                <w:color w:val="000000"/>
                <w:sz w:val="24"/>
                <w:szCs w:val="24"/>
                <w:lang w:eastAsia="ru-RU"/>
              </w:rPr>
            </w:pPr>
            <w:r>
              <w:rPr>
                <w:color w:val="000000"/>
                <w:sz w:val="24"/>
                <w:szCs w:val="24"/>
                <w:lang w:eastAsia="ru-RU"/>
              </w:rPr>
              <w:t>Динамика</w:t>
            </w:r>
          </w:p>
          <w:p>
            <w:pPr>
              <w:pStyle w:val="Normal"/>
              <w:suppressAutoHyphens w:val="false"/>
              <w:jc w:val="center"/>
              <w:rPr>
                <w:color w:val="000000"/>
                <w:sz w:val="24"/>
                <w:szCs w:val="24"/>
                <w:lang w:val="en-US" w:eastAsia="ru-RU"/>
              </w:rPr>
            </w:pPr>
            <w:r>
              <w:rPr>
                <w:color w:val="000000"/>
                <w:sz w:val="24"/>
                <w:szCs w:val="24"/>
                <w:lang w:val="en-US" w:eastAsia="ru-RU"/>
              </w:rPr>
              <w:t>(%)</w:t>
            </w:r>
          </w:p>
        </w:tc>
      </w:tr>
      <w:tr>
        <w:trPr>
          <w:trHeight w:val="564" w:hRule="atLeast"/>
        </w:trPr>
        <w:tc>
          <w:tcPr>
            <w:tcW w:w="211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rFonts w:eastAsia="Calibri"/>
                <w:color w:val="000000"/>
                <w:sz w:val="24"/>
                <w:szCs w:val="24"/>
                <w:lang w:eastAsia="ru-RU"/>
              </w:rPr>
            </w:pPr>
            <w:r>
              <w:rPr>
                <w:rFonts w:eastAsia="Calibri"/>
                <w:color w:val="000000"/>
                <w:sz w:val="24"/>
                <w:szCs w:val="24"/>
                <w:lang w:eastAsia="ru-RU"/>
              </w:rPr>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2015</w:t>
            </w:r>
          </w:p>
        </w:tc>
        <w:tc>
          <w:tcPr>
            <w:tcW w:w="77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2016</w:t>
            </w:r>
          </w:p>
        </w:tc>
        <w:tc>
          <w:tcPr>
            <w:tcW w:w="7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2017</w:t>
            </w:r>
          </w:p>
        </w:tc>
        <w:tc>
          <w:tcPr>
            <w:tcW w:w="7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2018</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2019</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2020</w:t>
            </w:r>
          </w:p>
        </w:tc>
        <w:tc>
          <w:tcPr>
            <w:tcW w:w="7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2021</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2022**</w:t>
            </w:r>
          </w:p>
        </w:tc>
        <w:tc>
          <w:tcPr>
            <w:tcW w:w="124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color w:val="000000"/>
                <w:sz w:val="24"/>
                <w:szCs w:val="24"/>
                <w:lang w:val="en-US" w:eastAsia="ru-RU"/>
              </w:rPr>
            </w:pPr>
            <w:r>
              <w:rPr>
                <w:color w:val="000000"/>
                <w:sz w:val="24"/>
                <w:szCs w:val="24"/>
                <w:lang w:val="en-US" w:eastAsia="ru-RU"/>
              </w:rPr>
            </w:r>
          </w:p>
        </w:tc>
      </w:tr>
      <w:tr>
        <w:trPr>
          <w:trHeight w:val="552" w:hRule="atLeast"/>
        </w:trPr>
        <w:tc>
          <w:tcPr>
            <w:tcW w:w="211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Кемеровская область</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rFonts w:eastAsia="Calibri"/>
                <w:color w:val="000000"/>
                <w:sz w:val="24"/>
                <w:szCs w:val="24"/>
                <w:lang w:eastAsia="en-US"/>
              </w:rPr>
            </w:pPr>
            <w:r>
              <w:rPr>
                <w:rFonts w:eastAsia="Calibri"/>
                <w:color w:val="000000"/>
                <w:sz w:val="24"/>
                <w:szCs w:val="24"/>
                <w:lang w:eastAsia="en-US"/>
              </w:rPr>
              <w:t>98,7</w:t>
            </w:r>
          </w:p>
        </w:tc>
        <w:tc>
          <w:tcPr>
            <w:tcW w:w="77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rFonts w:eastAsia="Calibri"/>
                <w:color w:val="000000"/>
                <w:sz w:val="24"/>
                <w:szCs w:val="24"/>
                <w:lang w:eastAsia="en-US"/>
              </w:rPr>
            </w:pPr>
            <w:r>
              <w:rPr>
                <w:rFonts w:eastAsia="Calibri"/>
                <w:color w:val="000000"/>
                <w:sz w:val="24"/>
                <w:szCs w:val="24"/>
                <w:lang w:eastAsia="en-US"/>
              </w:rPr>
              <w:t>96,2</w:t>
            </w:r>
          </w:p>
        </w:tc>
        <w:tc>
          <w:tcPr>
            <w:tcW w:w="7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rFonts w:eastAsia="Calibri"/>
                <w:color w:val="000000"/>
                <w:sz w:val="24"/>
                <w:szCs w:val="24"/>
                <w:lang w:eastAsia="en-US"/>
              </w:rPr>
            </w:pPr>
            <w:r>
              <w:rPr>
                <w:rFonts w:eastAsia="Calibri"/>
                <w:color w:val="000000"/>
                <w:sz w:val="24"/>
                <w:szCs w:val="24"/>
                <w:lang w:eastAsia="en-US"/>
              </w:rPr>
              <w:t>84,4</w:t>
            </w:r>
          </w:p>
        </w:tc>
        <w:tc>
          <w:tcPr>
            <w:tcW w:w="7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rFonts w:eastAsia="Calibri"/>
                <w:color w:val="000000"/>
                <w:sz w:val="24"/>
                <w:szCs w:val="24"/>
                <w:lang w:eastAsia="en-US"/>
              </w:rPr>
            </w:pPr>
            <w:r>
              <w:rPr>
                <w:rFonts w:eastAsia="Calibri"/>
                <w:color w:val="000000"/>
                <w:sz w:val="24"/>
                <w:szCs w:val="24"/>
                <w:lang w:eastAsia="en-US"/>
              </w:rPr>
              <w:t>92,5</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rFonts w:eastAsia="Calibri"/>
                <w:color w:val="000000"/>
                <w:sz w:val="24"/>
                <w:szCs w:val="24"/>
                <w:lang w:eastAsia="en-US"/>
              </w:rPr>
            </w:pPr>
            <w:r>
              <w:rPr>
                <w:rFonts w:eastAsia="Calibri"/>
                <w:color w:val="000000"/>
                <w:sz w:val="24"/>
                <w:szCs w:val="24"/>
                <w:lang w:eastAsia="en-US"/>
              </w:rPr>
              <w:t>96,2</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rFonts w:eastAsia="Calibri"/>
                <w:color w:val="000000"/>
                <w:sz w:val="24"/>
                <w:szCs w:val="24"/>
                <w:lang w:eastAsia="en-US"/>
              </w:rPr>
            </w:pPr>
            <w:r>
              <w:rPr>
                <w:rFonts w:eastAsia="Calibri"/>
                <w:color w:val="000000"/>
                <w:sz w:val="24"/>
                <w:szCs w:val="24"/>
                <w:lang w:eastAsia="en-US"/>
              </w:rPr>
              <w:t>97,7</w:t>
            </w:r>
          </w:p>
        </w:tc>
        <w:tc>
          <w:tcPr>
            <w:tcW w:w="7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rFonts w:eastAsia="Calibri"/>
                <w:color w:val="000000"/>
                <w:sz w:val="24"/>
                <w:szCs w:val="24"/>
                <w:lang w:eastAsia="en-US"/>
              </w:rPr>
            </w:pPr>
            <w:r>
              <w:rPr>
                <w:rFonts w:eastAsia="Calibri"/>
                <w:color w:val="000000"/>
                <w:sz w:val="24"/>
                <w:szCs w:val="24"/>
                <w:lang w:eastAsia="en-US"/>
              </w:rPr>
              <w:t>88,2</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pacing w:lineRule="auto" w:line="252" w:before="0" w:after="160"/>
              <w:jc w:val="center"/>
              <w:rPr>
                <w:rFonts w:eastAsia="Calibri"/>
                <w:color w:val="000000"/>
                <w:sz w:val="24"/>
                <w:szCs w:val="24"/>
                <w:lang w:eastAsia="en-US"/>
              </w:rPr>
            </w:pPr>
            <w:r>
              <w:rPr>
                <w:rFonts w:eastAsia="Calibri"/>
                <w:color w:val="000000"/>
                <w:sz w:val="24"/>
                <w:szCs w:val="24"/>
                <w:lang w:eastAsia="en-US"/>
              </w:rPr>
              <w:t>95,3</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-3,4</w:t>
            </w:r>
          </w:p>
        </w:tc>
      </w:tr>
      <w:tr>
        <w:trPr>
          <w:trHeight w:val="552" w:hRule="atLeast"/>
        </w:trPr>
        <w:tc>
          <w:tcPr>
            <w:tcW w:w="211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rPr>
                <w:color w:val="000000"/>
                <w:sz w:val="24"/>
                <w:szCs w:val="24"/>
                <w:lang w:eastAsia="ru-RU"/>
              </w:rPr>
            </w:pPr>
            <w:r>
              <w:rPr>
                <w:color w:val="000000"/>
                <w:sz w:val="24"/>
                <w:szCs w:val="24"/>
                <w:lang w:eastAsia="ru-RU"/>
              </w:rPr>
              <w:t>Топкинский муниципальный округ</w:t>
            </w:r>
          </w:p>
        </w:tc>
        <w:tc>
          <w:tcPr>
            <w:tcW w:w="809"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129,5</w:t>
            </w:r>
          </w:p>
        </w:tc>
        <w:tc>
          <w:tcPr>
            <w:tcW w:w="77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198,0</w:t>
            </w:r>
          </w:p>
        </w:tc>
        <w:tc>
          <w:tcPr>
            <w:tcW w:w="7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67,5</w:t>
            </w:r>
          </w:p>
        </w:tc>
        <w:tc>
          <w:tcPr>
            <w:tcW w:w="7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95,2</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148,6</w:t>
            </w:r>
          </w:p>
        </w:tc>
        <w:tc>
          <w:tcPr>
            <w:tcW w:w="810"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87,2</w:t>
            </w:r>
          </w:p>
        </w:tc>
        <w:tc>
          <w:tcPr>
            <w:tcW w:w="77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right"/>
              <w:rPr>
                <w:color w:val="000000"/>
                <w:sz w:val="24"/>
                <w:szCs w:val="24"/>
              </w:rPr>
            </w:pPr>
            <w:r>
              <w:rPr>
                <w:color w:val="000000"/>
                <w:sz w:val="24"/>
                <w:szCs w:val="24"/>
              </w:rPr>
              <w:t>78,4</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108,6</w:t>
            </w:r>
          </w:p>
        </w:tc>
        <w:tc>
          <w:tcPr>
            <w:tcW w:w="124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-16,1</w:t>
            </w:r>
          </w:p>
        </w:tc>
      </w:tr>
    </w:tbl>
    <w:p>
      <w:pPr>
        <w:pStyle w:val="Normal"/>
        <w:suppressAutoHyphens w:val="false"/>
        <w:spacing w:before="0" w:after="0"/>
        <w:ind w:firstLine="709"/>
        <w:contextualSpacing/>
        <w:jc w:val="right"/>
        <w:rPr/>
      </w:pPr>
      <w:r>
        <w:rPr/>
      </w:r>
    </w:p>
    <w:tbl>
      <w:tblPr>
        <w:tblW w:w="9978" w:type="dxa"/>
        <w:jc w:val="center"/>
        <w:tblInd w:w="0" w:type="dxa"/>
        <w:tblLayout w:type="fixed"/>
        <w:tblCellMar>
          <w:top w:w="0" w:type="dxa"/>
          <w:left w:w="108" w:type="dxa"/>
          <w:bottom w:w="0" w:type="dxa"/>
          <w:right w:w="108" w:type="dxa"/>
        </w:tblCellMar>
      </w:tblPr>
      <w:tblGrid>
        <w:gridCol w:w="1884"/>
        <w:gridCol w:w="786"/>
        <w:gridCol w:w="787"/>
        <w:gridCol w:w="787"/>
        <w:gridCol w:w="795"/>
        <w:gridCol w:w="795"/>
        <w:gridCol w:w="795"/>
        <w:gridCol w:w="795"/>
        <w:gridCol w:w="936"/>
        <w:gridCol w:w="1618"/>
      </w:tblGrid>
      <w:tr>
        <w:trPr>
          <w:trHeight w:val="300" w:hRule="atLeast"/>
        </w:trPr>
        <w:tc>
          <w:tcPr>
            <w:tcW w:w="188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color w:val="000000"/>
                <w:sz w:val="24"/>
                <w:szCs w:val="24"/>
                <w:lang w:eastAsia="ru-RU"/>
              </w:rPr>
            </w:pPr>
            <w:r>
              <w:rPr>
                <w:color w:val="000000"/>
                <w:sz w:val="24"/>
                <w:szCs w:val="24"/>
                <w:lang w:eastAsia="ru-RU"/>
              </w:rPr>
            </w:r>
          </w:p>
        </w:tc>
        <w:tc>
          <w:tcPr>
            <w:tcW w:w="6476" w:type="dxa"/>
            <w:gridSpan w:val="8"/>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женщины</w:t>
            </w:r>
          </w:p>
        </w:tc>
        <w:tc>
          <w:tcPr>
            <w:tcW w:w="161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pPr>
            <w:r>
              <w:rPr>
                <w:color w:val="000000"/>
                <w:sz w:val="24"/>
                <w:szCs w:val="24"/>
                <w:lang w:eastAsia="ru-RU"/>
              </w:rPr>
              <w:t>Динамика</w:t>
            </w:r>
            <w:r>
              <w:rPr>
                <w:color w:val="000000"/>
                <w:sz w:val="24"/>
                <w:szCs w:val="24"/>
                <w:lang w:val="en-US" w:eastAsia="ru-RU"/>
              </w:rPr>
              <w:t xml:space="preserve"> (%)</w:t>
            </w:r>
          </w:p>
        </w:tc>
      </w:tr>
      <w:tr>
        <w:trPr>
          <w:trHeight w:val="564" w:hRule="atLeast"/>
        </w:trPr>
        <w:tc>
          <w:tcPr>
            <w:tcW w:w="188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rFonts w:eastAsia="Calibri"/>
                <w:color w:val="000000"/>
                <w:sz w:val="24"/>
                <w:szCs w:val="24"/>
                <w:lang w:val="en-US" w:eastAsia="ru-RU"/>
              </w:rPr>
            </w:pPr>
            <w:r>
              <w:rPr>
                <w:rFonts w:eastAsia="Calibri"/>
                <w:color w:val="000000"/>
                <w:sz w:val="24"/>
                <w:szCs w:val="24"/>
                <w:lang w:val="en-US" w:eastAsia="ru-RU"/>
              </w:rPr>
            </w:r>
          </w:p>
        </w:tc>
        <w:tc>
          <w:tcPr>
            <w:tcW w:w="78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2015</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2016</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2017</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2018</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2019</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2020</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2021</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2022**</w:t>
            </w:r>
          </w:p>
        </w:tc>
        <w:tc>
          <w:tcPr>
            <w:tcW w:w="161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napToGrid w:val="false"/>
              <w:jc w:val="center"/>
              <w:rPr>
                <w:color w:val="000000"/>
                <w:sz w:val="24"/>
                <w:szCs w:val="24"/>
                <w:lang w:eastAsia="ru-RU"/>
              </w:rPr>
            </w:pPr>
            <w:r>
              <w:rPr>
                <w:color w:val="000000"/>
                <w:sz w:val="24"/>
                <w:szCs w:val="24"/>
                <w:lang w:eastAsia="ru-RU"/>
              </w:rPr>
            </w:r>
          </w:p>
        </w:tc>
      </w:tr>
      <w:tr>
        <w:trPr>
          <w:trHeight w:val="552" w:hRule="atLeast"/>
        </w:trPr>
        <w:tc>
          <w:tcPr>
            <w:tcW w:w="1884"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both"/>
              <w:rPr>
                <w:color w:val="000000"/>
                <w:sz w:val="24"/>
                <w:szCs w:val="24"/>
                <w:lang w:eastAsia="ru-RU"/>
              </w:rPr>
            </w:pPr>
            <w:r>
              <w:rPr>
                <w:color w:val="000000"/>
                <w:sz w:val="24"/>
                <w:szCs w:val="24"/>
                <w:lang w:eastAsia="ru-RU"/>
              </w:rPr>
              <w:t>Кемеровская область</w:t>
            </w:r>
          </w:p>
        </w:tc>
        <w:tc>
          <w:tcPr>
            <w:tcW w:w="78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32,6</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26,8</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31</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29,4</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34,4</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32,6</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rFonts w:eastAsia="Calibri"/>
                <w:color w:val="000000"/>
                <w:sz w:val="24"/>
                <w:szCs w:val="24"/>
                <w:lang w:eastAsia="en-US"/>
              </w:rPr>
            </w:pPr>
            <w:r>
              <w:rPr>
                <w:rFonts w:eastAsia="Calibri"/>
                <w:color w:val="000000"/>
                <w:sz w:val="24"/>
                <w:szCs w:val="24"/>
                <w:lang w:eastAsia="en-US"/>
              </w:rPr>
              <w:t>32,3</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spacing w:lineRule="auto" w:line="252" w:before="0" w:after="160"/>
              <w:jc w:val="center"/>
              <w:rPr>
                <w:rFonts w:eastAsia="Calibri"/>
                <w:color w:val="000000"/>
                <w:sz w:val="24"/>
                <w:szCs w:val="24"/>
                <w:lang w:eastAsia="en-US"/>
              </w:rPr>
            </w:pPr>
            <w:r>
              <w:rPr>
                <w:rFonts w:eastAsia="Calibri"/>
                <w:color w:val="000000"/>
                <w:sz w:val="24"/>
                <w:szCs w:val="24"/>
                <w:lang w:eastAsia="en-US"/>
              </w:rPr>
              <w:t>32,6</w:t>
            </w:r>
          </w:p>
        </w:tc>
        <w:tc>
          <w:tcPr>
            <w:tcW w:w="1618"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на прежнем уровне</w:t>
            </w:r>
          </w:p>
        </w:tc>
      </w:tr>
      <w:tr>
        <w:trPr>
          <w:trHeight w:val="552" w:hRule="atLeast"/>
        </w:trPr>
        <w:tc>
          <w:tcPr>
            <w:tcW w:w="1884"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both"/>
              <w:rPr>
                <w:color w:val="000000"/>
                <w:sz w:val="24"/>
                <w:szCs w:val="24"/>
                <w:lang w:eastAsia="ru-RU"/>
              </w:rPr>
            </w:pPr>
            <w:r>
              <w:rPr>
                <w:color w:val="000000"/>
                <w:sz w:val="24"/>
                <w:szCs w:val="24"/>
                <w:lang w:eastAsia="ru-RU"/>
              </w:rPr>
              <w:t>Топкинский муниципальный округ</w:t>
            </w:r>
          </w:p>
        </w:tc>
        <w:tc>
          <w:tcPr>
            <w:tcW w:w="78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17,9</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64,4</w:t>
            </w:r>
          </w:p>
        </w:tc>
        <w:tc>
          <w:tcPr>
            <w:tcW w:w="787"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56,8</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39,3</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78,8</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pPr>
            <w:r>
              <w:rPr>
                <w:color w:val="000000"/>
                <w:sz w:val="24"/>
                <w:szCs w:val="24"/>
              </w:rPr>
              <w:t>48,7</w:t>
            </w:r>
          </w:p>
        </w:tc>
        <w:tc>
          <w:tcPr>
            <w:tcW w:w="795"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30,0</w:t>
            </w:r>
          </w:p>
        </w:tc>
        <w:tc>
          <w:tcPr>
            <w:tcW w:w="936"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rPr>
            </w:pPr>
            <w:r>
              <w:rPr>
                <w:color w:val="000000"/>
                <w:sz w:val="24"/>
                <w:szCs w:val="24"/>
              </w:rPr>
              <w:t>67,4</w:t>
            </w:r>
          </w:p>
        </w:tc>
        <w:tc>
          <w:tcPr>
            <w:tcW w:w="1618" w:type="dxa"/>
            <w:tcBorders>
              <w:top w:val="single" w:sz="4" w:space="0" w:color="000000"/>
              <w:left w:val="single" w:sz="4" w:space="0" w:color="000000"/>
              <w:bottom w:val="single" w:sz="4" w:space="0" w:color="000000"/>
              <w:right w:val="single" w:sz="4" w:space="0" w:color="000000"/>
            </w:tcBorders>
            <w:vAlign w:val="center"/>
          </w:tcPr>
          <w:p>
            <w:pPr>
              <w:pStyle w:val="Normal"/>
              <w:suppressAutoHyphens w:val="false"/>
              <w:jc w:val="center"/>
              <w:rPr>
                <w:color w:val="000000"/>
                <w:sz w:val="24"/>
                <w:szCs w:val="24"/>
                <w:lang w:eastAsia="ru-RU"/>
              </w:rPr>
            </w:pPr>
            <w:r>
              <w:rPr>
                <w:color w:val="000000"/>
                <w:sz w:val="24"/>
                <w:szCs w:val="24"/>
                <w:lang w:eastAsia="ru-RU"/>
              </w:rPr>
              <w:t>Рост в 3,8 раза</w:t>
            </w:r>
          </w:p>
        </w:tc>
      </w:tr>
    </w:tbl>
    <w:p>
      <w:pPr>
        <w:pStyle w:val="Normal"/>
        <w:suppressAutoHyphens w:val="false"/>
        <w:spacing w:before="0" w:after="0"/>
        <w:ind w:firstLine="709"/>
        <w:contextualSpacing/>
        <w:jc w:val="both"/>
        <w:rPr>
          <w:rFonts w:eastAsia="Calibri"/>
          <w:bCs/>
          <w:sz w:val="24"/>
          <w:szCs w:val="24"/>
          <w:lang w:eastAsia="en-US"/>
        </w:rPr>
      </w:pPr>
      <w:r>
        <w:rPr>
          <w:rFonts w:eastAsia="Calibri"/>
          <w:bCs/>
          <w:sz w:val="24"/>
          <w:szCs w:val="24"/>
          <w:lang w:eastAsia="en-US"/>
        </w:rPr>
        <w:t>* по данным Кемеровостата</w:t>
      </w:r>
    </w:p>
    <w:p>
      <w:pPr>
        <w:pStyle w:val="Normal"/>
        <w:suppressAutoHyphens w:val="false"/>
        <w:spacing w:before="0" w:after="0"/>
        <w:ind w:firstLine="709"/>
        <w:contextualSpacing/>
        <w:jc w:val="both"/>
        <w:rPr>
          <w:rFonts w:eastAsia="Calibri"/>
          <w:bCs/>
          <w:sz w:val="24"/>
          <w:szCs w:val="24"/>
          <w:lang w:eastAsia="en-US"/>
        </w:rPr>
      </w:pPr>
      <w:r>
        <w:rPr>
          <w:rFonts w:eastAsia="Calibri"/>
          <w:bCs/>
          <w:sz w:val="24"/>
          <w:szCs w:val="24"/>
          <w:lang w:eastAsia="en-US"/>
        </w:rPr>
        <w:t>**-расчетные данные</w:t>
      </w:r>
    </w:p>
    <w:p>
      <w:pPr>
        <w:pStyle w:val="Normal"/>
        <w:ind w:firstLine="709"/>
        <w:jc w:val="both"/>
        <w:rPr>
          <w:rFonts w:eastAsia="Calibri"/>
          <w:bCs/>
          <w:sz w:val="16"/>
          <w:szCs w:val="16"/>
          <w:lang w:eastAsia="en-US"/>
        </w:rPr>
      </w:pPr>
      <w:r>
        <w:rPr>
          <w:rFonts w:eastAsia="Calibri"/>
          <w:bCs/>
          <w:sz w:val="16"/>
          <w:szCs w:val="16"/>
          <w:lang w:eastAsia="en-US"/>
        </w:rPr>
      </w:r>
    </w:p>
    <w:p>
      <w:pPr>
        <w:pStyle w:val="Normal"/>
        <w:ind w:firstLine="709"/>
        <w:jc w:val="both"/>
        <w:rPr/>
      </w:pPr>
      <w:r>
        <w:rPr>
          <w:sz w:val="28"/>
          <w:szCs w:val="28"/>
        </w:rPr>
        <w:t xml:space="preserve">Смертность от причин, обусловленных употреблением алкоголя </w:t>
      </w:r>
      <w:r>
        <w:rPr>
          <w:rFonts w:eastAsia="Calibri"/>
          <w:sz w:val="28"/>
          <w:szCs w:val="28"/>
          <w:lang w:eastAsia="en-US"/>
        </w:rPr>
        <w:t xml:space="preserve">в трудоспособном возрасте </w:t>
      </w:r>
      <w:r>
        <w:rPr>
          <w:sz w:val="28"/>
          <w:szCs w:val="28"/>
        </w:rPr>
        <w:t xml:space="preserve">за период с 2015 по 2022 год в целом по Кемеровской области, снижается, что указывает на эффективность </w:t>
      </w:r>
      <w:r>
        <w:rPr>
          <w:sz w:val="28"/>
          <w:szCs w:val="28"/>
          <w:lang w:eastAsia="ru-RU"/>
        </w:rPr>
        <w:t xml:space="preserve">проводимых мероприятий по пресечению незаконного оборота алкогольной продукции, а также ряда ограничений по местам и времени розничной продажи алкогольной продукции. В Топкинском муниципальном округе отмечается рост смертности </w:t>
      </w:r>
      <w:r>
        <w:rPr>
          <w:rFonts w:eastAsia="Calibri"/>
          <w:sz w:val="28"/>
          <w:szCs w:val="28"/>
          <w:lang w:eastAsia="en-US"/>
        </w:rPr>
        <w:t xml:space="preserve">в трудоспособном возрасте </w:t>
      </w:r>
      <w:r>
        <w:rPr>
          <w:sz w:val="28"/>
          <w:szCs w:val="28"/>
          <w:lang w:eastAsia="ru-RU"/>
        </w:rPr>
        <w:t>среди всего населения на 15,8 %</w:t>
      </w:r>
      <w:r>
        <w:rPr>
          <w:sz w:val="28"/>
          <w:szCs w:val="28"/>
        </w:rPr>
        <w:t>, а среди женского в 3,8 раза.</w:t>
      </w:r>
    </w:p>
    <w:p>
      <w:pPr>
        <w:pStyle w:val="Normal"/>
        <w:ind w:firstLine="709"/>
        <w:jc w:val="both"/>
        <w:rPr>
          <w:sz w:val="28"/>
          <w:szCs w:val="28"/>
        </w:rPr>
      </w:pPr>
      <w:r>
        <w:rPr>
          <w:sz w:val="28"/>
          <w:szCs w:val="28"/>
        </w:rPr>
      </w:r>
    </w:p>
    <w:p>
      <w:pPr>
        <w:pStyle w:val="ListParagraph"/>
        <w:numPr>
          <w:ilvl w:val="0"/>
          <w:numId w:val="3"/>
        </w:numPr>
        <w:spacing w:lineRule="auto" w:line="240" w:before="0" w:after="0"/>
        <w:ind w:left="0" w:right="0" w:hanging="0"/>
        <w:jc w:val="center"/>
        <w:rPr>
          <w:rFonts w:ascii="Times New Roman" w:hAnsi="Times New Roman" w:cs="Times New Roman"/>
          <w:b/>
          <w:b/>
          <w:bCs/>
          <w:vanish/>
          <w:sz w:val="28"/>
          <w:szCs w:val="28"/>
        </w:rPr>
      </w:pPr>
      <w:r>
        <w:rPr>
          <w:rFonts w:cs="Times New Roman" w:ascii="Times New Roman" w:hAnsi="Times New Roman"/>
          <w:b/>
          <w:bCs/>
          <w:vanish/>
          <w:sz w:val="28"/>
          <w:szCs w:val="28"/>
        </w:rPr>
      </w:r>
    </w:p>
    <w:p>
      <w:pPr>
        <w:pStyle w:val="Normal"/>
        <w:jc w:val="center"/>
        <w:rPr>
          <w:b/>
          <w:b/>
          <w:bCs/>
          <w:sz w:val="28"/>
          <w:szCs w:val="28"/>
        </w:rPr>
      </w:pPr>
      <w:r>
        <w:rPr>
          <w:b/>
          <w:bCs/>
          <w:sz w:val="28"/>
          <w:szCs w:val="28"/>
        </w:rPr>
        <w:t>5. Заболеваемость населения Топкинского муниципального округа</w:t>
      </w:r>
    </w:p>
    <w:p>
      <w:pPr>
        <w:pStyle w:val="ListParagraph"/>
        <w:spacing w:lineRule="auto" w:line="240" w:before="0" w:after="0"/>
        <w:ind w:left="0" w:right="0" w:hanging="0"/>
        <w:jc w:val="both"/>
        <w:rPr>
          <w:rFonts w:ascii="Times New Roman" w:hAnsi="Times New Roman" w:cs="Times New Roman"/>
          <w:b/>
          <w:b/>
          <w:bCs/>
          <w:sz w:val="28"/>
          <w:szCs w:val="28"/>
          <w:u w:val="single"/>
        </w:rPr>
      </w:pPr>
      <w:r>
        <w:rPr>
          <w:rFonts w:cs="Times New Roman" w:ascii="Times New Roman" w:hAnsi="Times New Roman"/>
          <w:b/>
          <w:bCs/>
          <w:sz w:val="28"/>
          <w:szCs w:val="28"/>
          <w:u w:val="single"/>
        </w:rPr>
      </w:r>
    </w:p>
    <w:p>
      <w:pPr>
        <w:pStyle w:val="ListParagraph"/>
        <w:spacing w:lineRule="auto" w:line="240" w:before="0" w:after="0"/>
        <w:ind w:left="0" w:right="0" w:firstLine="709"/>
        <w:jc w:val="center"/>
        <w:rPr>
          <w:rFonts w:ascii="Times New Roman" w:hAnsi="Times New Roman" w:cs="Times New Roman"/>
          <w:sz w:val="28"/>
          <w:szCs w:val="28"/>
        </w:rPr>
      </w:pPr>
      <w:r>
        <w:rPr>
          <w:rFonts w:cs="Times New Roman" w:ascii="Times New Roman" w:hAnsi="Times New Roman"/>
          <w:sz w:val="28"/>
          <w:szCs w:val="28"/>
        </w:rPr>
        <w:t>5.1 Общая и первичная заболеваемость</w:t>
      </w:r>
    </w:p>
    <w:p>
      <w:pPr>
        <w:pStyle w:val="ListParagraph"/>
        <w:spacing w:lineRule="auto" w:line="240" w:before="0" w:after="0"/>
        <w:ind w:left="0" w:right="0" w:firstLine="709"/>
        <w:jc w:val="both"/>
        <w:rPr>
          <w:rFonts w:ascii="Times New Roman" w:hAnsi="Times New Roman" w:cs="Times New Roman"/>
          <w:sz w:val="28"/>
          <w:szCs w:val="28"/>
        </w:rPr>
      </w:pPr>
      <w:r>
        <w:rPr>
          <w:rFonts w:cs="Times New Roman" w:ascii="Times New Roman" w:hAnsi="Times New Roman"/>
          <w:sz w:val="28"/>
          <w:szCs w:val="28"/>
        </w:rPr>
      </w:r>
    </w:p>
    <w:p>
      <w:pPr>
        <w:pStyle w:val="Normal"/>
        <w:ind w:firstLine="709"/>
        <w:jc w:val="both"/>
        <w:rPr>
          <w:i/>
          <w:i/>
          <w:iCs/>
          <w:sz w:val="28"/>
          <w:szCs w:val="28"/>
        </w:rPr>
      </w:pPr>
      <w:r>
        <w:rPr>
          <w:i/>
          <w:iCs/>
          <w:sz w:val="28"/>
          <w:szCs w:val="28"/>
        </w:rPr>
        <w:t xml:space="preserve">Таблица 10. Общая заболеваемость населения за 2020-2022 гг. </w:t>
      </w:r>
    </w:p>
    <w:p>
      <w:pPr>
        <w:pStyle w:val="Normal"/>
        <w:ind w:firstLine="709"/>
        <w:jc w:val="both"/>
        <w:rPr/>
      </w:pPr>
      <w:r>
        <w:rPr>
          <w:i/>
          <w:iCs/>
          <w:sz w:val="28"/>
          <w:szCs w:val="28"/>
        </w:rPr>
        <w:t>(на 1000 населения</w:t>
      </w:r>
      <w:r>
        <w:rPr/>
        <w:t>)</w:t>
      </w:r>
    </w:p>
    <w:tbl>
      <w:tblPr>
        <w:tblW w:w="4250" w:type="pct"/>
        <w:jc w:val="center"/>
        <w:tblInd w:w="0" w:type="dxa"/>
        <w:tblLayout w:type="fixed"/>
        <w:tblCellMar>
          <w:top w:w="0" w:type="dxa"/>
          <w:left w:w="108" w:type="dxa"/>
          <w:bottom w:w="0" w:type="dxa"/>
          <w:right w:w="108" w:type="dxa"/>
        </w:tblCellMar>
      </w:tblPr>
      <w:tblGrid>
        <w:gridCol w:w="2615"/>
        <w:gridCol w:w="1101"/>
        <w:gridCol w:w="1239"/>
        <w:gridCol w:w="1240"/>
        <w:gridCol w:w="1516"/>
      </w:tblGrid>
      <w:tr>
        <w:trPr>
          <w:trHeight w:val="437" w:hRule="atLeast"/>
        </w:trPr>
        <w:tc>
          <w:tcPr>
            <w:tcW w:w="2615"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napToGrid w:val="false"/>
              <w:jc w:val="center"/>
              <w:rPr>
                <w:sz w:val="24"/>
                <w:szCs w:val="24"/>
              </w:rPr>
            </w:pPr>
            <w:r>
              <w:rPr>
                <w:sz w:val="24"/>
                <w:szCs w:val="24"/>
              </w:rPr>
            </w:r>
          </w:p>
        </w:tc>
        <w:tc>
          <w:tcPr>
            <w:tcW w:w="3580" w:type="dxa"/>
            <w:gridSpan w:val="3"/>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Общая</w:t>
            </w:r>
          </w:p>
        </w:tc>
        <w:tc>
          <w:tcPr>
            <w:tcW w:w="1516" w:type="dxa"/>
            <w:vMerge w:val="restart"/>
            <w:tcBorders>
              <w:top w:val="single" w:sz="4" w:space="0" w:color="000000"/>
              <w:left w:val="single" w:sz="4" w:space="0" w:color="000000"/>
              <w:right w:val="single" w:sz="4" w:space="0" w:color="000000"/>
            </w:tcBorders>
          </w:tcPr>
          <w:p>
            <w:pPr>
              <w:pStyle w:val="Normal"/>
              <w:jc w:val="center"/>
              <w:rPr/>
            </w:pPr>
            <w:r>
              <w:rPr>
                <w:color w:val="000000"/>
                <w:sz w:val="24"/>
                <w:szCs w:val="24"/>
                <w:lang w:eastAsia="ru-RU"/>
              </w:rPr>
              <w:t>Динамика</w:t>
            </w:r>
            <w:r>
              <w:rPr>
                <w:color w:val="000000"/>
                <w:sz w:val="24"/>
                <w:szCs w:val="24"/>
                <w:lang w:val="en-US" w:eastAsia="ru-RU"/>
              </w:rPr>
              <w:t xml:space="preserve"> (%)</w:t>
            </w:r>
          </w:p>
        </w:tc>
      </w:tr>
      <w:tr>
        <w:trPr>
          <w:trHeight w:val="437" w:hRule="atLeast"/>
        </w:trPr>
        <w:tc>
          <w:tcPr>
            <w:tcW w:w="261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napToGrid w:val="false"/>
              <w:jc w:val="center"/>
              <w:rPr>
                <w:sz w:val="24"/>
                <w:szCs w:val="24"/>
              </w:rPr>
            </w:pPr>
            <w:r>
              <w:rPr>
                <w:sz w:val="24"/>
                <w:szCs w:val="24"/>
              </w:rPr>
            </w:r>
          </w:p>
        </w:tc>
        <w:tc>
          <w:tcPr>
            <w:tcW w:w="110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2020</w:t>
            </w:r>
          </w:p>
        </w:tc>
        <w:tc>
          <w:tcPr>
            <w:tcW w:w="123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2021</w:t>
            </w:r>
          </w:p>
        </w:tc>
        <w:tc>
          <w:tcPr>
            <w:tcW w:w="124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2022</w:t>
            </w:r>
          </w:p>
        </w:tc>
        <w:tc>
          <w:tcPr>
            <w:tcW w:w="1516" w:type="dxa"/>
            <w:vMerge w:val="continue"/>
            <w:tcBorders>
              <w:top w:val="single" w:sz="4" w:space="0" w:color="000000"/>
              <w:left w:val="single" w:sz="4" w:space="0" w:color="000000"/>
              <w:right w:val="single" w:sz="4" w:space="0" w:color="000000"/>
            </w:tcBorders>
          </w:tcPr>
          <w:p>
            <w:pPr>
              <w:pStyle w:val="Normal"/>
              <w:snapToGrid w:val="false"/>
              <w:jc w:val="center"/>
              <w:rPr>
                <w:sz w:val="24"/>
                <w:szCs w:val="24"/>
              </w:rPr>
            </w:pPr>
            <w:r>
              <w:rPr>
                <w:sz w:val="24"/>
                <w:szCs w:val="24"/>
              </w:rPr>
            </w:r>
          </w:p>
        </w:tc>
      </w:tr>
      <w:tr>
        <w:trPr>
          <w:trHeight w:val="491" w:hRule="atLeast"/>
        </w:trPr>
        <w:tc>
          <w:tcPr>
            <w:tcW w:w="2615" w:type="dxa"/>
            <w:tcBorders>
              <w:top w:val="single" w:sz="4" w:space="0" w:color="000000"/>
              <w:left w:val="single" w:sz="4" w:space="0" w:color="000000"/>
              <w:bottom w:val="single" w:sz="4" w:space="0" w:color="000000"/>
              <w:right w:val="single" w:sz="4" w:space="0" w:color="000000"/>
            </w:tcBorders>
            <w:vAlign w:val="center"/>
          </w:tcPr>
          <w:p>
            <w:pPr>
              <w:pStyle w:val="Normal"/>
              <w:rPr>
                <w:sz w:val="24"/>
                <w:szCs w:val="24"/>
              </w:rPr>
            </w:pPr>
            <w:r>
              <w:rPr>
                <w:sz w:val="24"/>
                <w:szCs w:val="24"/>
              </w:rPr>
              <w:t>Кемеровская область - Кузбасс</w:t>
            </w:r>
          </w:p>
        </w:tc>
        <w:tc>
          <w:tcPr>
            <w:tcW w:w="110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1459,68</w:t>
            </w:r>
          </w:p>
        </w:tc>
        <w:tc>
          <w:tcPr>
            <w:tcW w:w="123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1560,05</w:t>
            </w:r>
          </w:p>
        </w:tc>
        <w:tc>
          <w:tcPr>
            <w:tcW w:w="124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1582,64</w:t>
            </w:r>
          </w:p>
        </w:tc>
        <w:tc>
          <w:tcPr>
            <w:tcW w:w="151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+8,4</w:t>
            </w:r>
          </w:p>
        </w:tc>
      </w:tr>
      <w:tr>
        <w:trPr>
          <w:trHeight w:val="491" w:hRule="atLeast"/>
        </w:trPr>
        <w:tc>
          <w:tcPr>
            <w:tcW w:w="2615" w:type="dxa"/>
            <w:tcBorders>
              <w:top w:val="single" w:sz="4" w:space="0" w:color="000000"/>
              <w:left w:val="single" w:sz="4" w:space="0" w:color="000000"/>
              <w:bottom w:val="single" w:sz="4" w:space="0" w:color="000000"/>
              <w:right w:val="single" w:sz="4" w:space="0" w:color="000000"/>
            </w:tcBorders>
            <w:vAlign w:val="center"/>
          </w:tcPr>
          <w:p>
            <w:pPr>
              <w:pStyle w:val="Normal"/>
              <w:rPr>
                <w:sz w:val="24"/>
                <w:szCs w:val="24"/>
              </w:rPr>
            </w:pPr>
            <w:r>
              <w:rPr>
                <w:sz w:val="24"/>
                <w:szCs w:val="24"/>
              </w:rPr>
              <w:t>Топкинский муниципальный округ</w:t>
            </w:r>
          </w:p>
        </w:tc>
        <w:tc>
          <w:tcPr>
            <w:tcW w:w="110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1289,43</w:t>
            </w:r>
          </w:p>
        </w:tc>
        <w:tc>
          <w:tcPr>
            <w:tcW w:w="123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1365,6</w:t>
            </w:r>
          </w:p>
        </w:tc>
        <w:tc>
          <w:tcPr>
            <w:tcW w:w="124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1269,45</w:t>
            </w:r>
          </w:p>
        </w:tc>
        <w:tc>
          <w:tcPr>
            <w:tcW w:w="151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-1,5</w:t>
            </w:r>
          </w:p>
        </w:tc>
      </w:tr>
    </w:tbl>
    <w:p>
      <w:pPr>
        <w:pStyle w:val="Normal"/>
        <w:jc w:val="center"/>
        <w:rPr>
          <w:rFonts w:ascii="Arial" w:hAnsi="Arial" w:cs="Arial"/>
          <w:b/>
          <w:b/>
          <w:bCs/>
        </w:rPr>
      </w:pPr>
      <w:r>
        <w:rPr>
          <w:rFonts w:cs="Arial" w:ascii="Arial" w:hAnsi="Arial"/>
          <w:b/>
          <w:bCs/>
        </w:rPr>
      </w:r>
    </w:p>
    <w:p>
      <w:pPr>
        <w:pStyle w:val="Normal"/>
        <w:ind w:left="567" w:firstLine="113"/>
        <w:jc w:val="both"/>
        <w:rPr>
          <w:rFonts w:ascii="Liberation Serif;Times New Roman" w:hAnsi="Liberation Serif;Times New Roman" w:eastAsia="Calibri" w:cs="Liberation Serif;Times New Roman"/>
          <w:i/>
          <w:i/>
          <w:iCs/>
          <w:sz w:val="28"/>
          <w:szCs w:val="28"/>
          <w:shd w:fill="FFFFFF" w:val="clear"/>
          <w:lang w:eastAsia="en-US"/>
        </w:rPr>
      </w:pPr>
      <w:r>
        <w:rPr>
          <w:rFonts w:eastAsia="Calibri" w:cs="Liberation Serif;Times New Roman" w:ascii="Liberation Serif;Times New Roman" w:hAnsi="Liberation Serif;Times New Roman"/>
          <w:i/>
          <w:iCs/>
          <w:sz w:val="28"/>
          <w:szCs w:val="28"/>
          <w:shd w:fill="FFFFFF" w:val="clear"/>
          <w:lang w:eastAsia="en-US"/>
        </w:rPr>
        <w:t>Таблица 11. Первичная заболеваемость населения за 2020-2022 гг. (на 1000 населения)</w:t>
      </w:r>
    </w:p>
    <w:tbl>
      <w:tblPr>
        <w:tblW w:w="4300" w:type="pct"/>
        <w:jc w:val="center"/>
        <w:tblInd w:w="0" w:type="dxa"/>
        <w:tblLayout w:type="fixed"/>
        <w:tblCellMar>
          <w:top w:w="0" w:type="dxa"/>
          <w:left w:w="108" w:type="dxa"/>
          <w:bottom w:w="0" w:type="dxa"/>
          <w:right w:w="108" w:type="dxa"/>
        </w:tblCellMar>
      </w:tblPr>
      <w:tblGrid>
        <w:gridCol w:w="2348"/>
        <w:gridCol w:w="1131"/>
        <w:gridCol w:w="12"/>
        <w:gridCol w:w="1355"/>
        <w:gridCol w:w="14"/>
        <w:gridCol w:w="1218"/>
        <w:gridCol w:w="11"/>
        <w:gridCol w:w="1683"/>
        <w:gridCol w:w="29"/>
      </w:tblGrid>
      <w:tr>
        <w:trPr>
          <w:trHeight w:val="437" w:hRule="atLeast"/>
        </w:trPr>
        <w:tc>
          <w:tcPr>
            <w:tcW w:w="234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napToGrid w:val="false"/>
              <w:jc w:val="center"/>
              <w:rPr>
                <w:sz w:val="24"/>
                <w:szCs w:val="24"/>
              </w:rPr>
            </w:pPr>
            <w:r>
              <w:rPr>
                <w:sz w:val="24"/>
                <w:szCs w:val="24"/>
              </w:rPr>
            </w:r>
          </w:p>
        </w:tc>
        <w:tc>
          <w:tcPr>
            <w:tcW w:w="3741" w:type="dxa"/>
            <w:gridSpan w:val="6"/>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Первичная</w:t>
            </w:r>
          </w:p>
        </w:tc>
        <w:tc>
          <w:tcPr>
            <w:tcW w:w="1712" w:type="dxa"/>
            <w:gridSpan w:val="2"/>
            <w:tcBorders>
              <w:top w:val="single" w:sz="4" w:space="0" w:color="000000"/>
              <w:left w:val="single" w:sz="4" w:space="0" w:color="000000"/>
              <w:right w:val="single" w:sz="4" w:space="0" w:color="000000"/>
            </w:tcBorders>
          </w:tcPr>
          <w:p>
            <w:pPr>
              <w:pStyle w:val="Normal"/>
              <w:jc w:val="center"/>
              <w:rPr/>
            </w:pPr>
            <w:r>
              <w:rPr>
                <w:color w:val="000000"/>
                <w:sz w:val="24"/>
                <w:szCs w:val="24"/>
                <w:lang w:eastAsia="ru-RU"/>
              </w:rPr>
              <w:t>Динамика</w:t>
            </w:r>
            <w:r>
              <w:rPr>
                <w:color w:val="000000"/>
                <w:sz w:val="24"/>
                <w:szCs w:val="24"/>
                <w:lang w:val="en-US" w:eastAsia="ru-RU"/>
              </w:rPr>
              <w:t xml:space="preserve"> (%)</w:t>
            </w:r>
          </w:p>
        </w:tc>
      </w:tr>
      <w:tr>
        <w:trPr>
          <w:trHeight w:val="437" w:hRule="atLeast"/>
        </w:trPr>
        <w:tc>
          <w:tcPr>
            <w:tcW w:w="234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napToGrid w:val="false"/>
              <w:jc w:val="center"/>
              <w:rPr>
                <w:sz w:val="24"/>
                <w:szCs w:val="24"/>
              </w:rPr>
            </w:pPr>
            <w:r>
              <w:rPr>
                <w:sz w:val="24"/>
                <w:szCs w:val="24"/>
              </w:rPr>
            </w:r>
          </w:p>
        </w:tc>
        <w:tc>
          <w:tcPr>
            <w:tcW w:w="1143"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2020</w:t>
            </w:r>
          </w:p>
        </w:tc>
        <w:tc>
          <w:tcPr>
            <w:tcW w:w="1369"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2021</w:t>
            </w:r>
          </w:p>
        </w:tc>
        <w:tc>
          <w:tcPr>
            <w:tcW w:w="1229"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2022</w:t>
            </w:r>
          </w:p>
        </w:tc>
        <w:tc>
          <w:tcPr>
            <w:tcW w:w="1712" w:type="dxa"/>
            <w:gridSpan w:val="2"/>
            <w:tcBorders>
              <w:left w:val="single" w:sz="4" w:space="0" w:color="000000"/>
              <w:bottom w:val="single" w:sz="4" w:space="0" w:color="000000"/>
              <w:right w:val="single" w:sz="4" w:space="0" w:color="000000"/>
            </w:tcBorders>
          </w:tcPr>
          <w:p>
            <w:pPr>
              <w:pStyle w:val="Normal"/>
              <w:snapToGrid w:val="false"/>
              <w:jc w:val="center"/>
              <w:rPr>
                <w:sz w:val="24"/>
                <w:szCs w:val="24"/>
              </w:rPr>
            </w:pPr>
            <w:r>
              <w:rPr>
                <w:sz w:val="24"/>
                <w:szCs w:val="24"/>
              </w:rPr>
            </w:r>
          </w:p>
        </w:tc>
      </w:tr>
      <w:tr>
        <w:trPr>
          <w:trHeight w:val="491" w:hRule="atLeast"/>
        </w:trPr>
        <w:tc>
          <w:tcPr>
            <w:tcW w:w="2348" w:type="dxa"/>
            <w:tcBorders>
              <w:top w:val="single" w:sz="4" w:space="0" w:color="000000"/>
              <w:left w:val="single" w:sz="4" w:space="0" w:color="000000"/>
              <w:bottom w:val="single" w:sz="4" w:space="0" w:color="000000"/>
              <w:right w:val="single" w:sz="4" w:space="0" w:color="000000"/>
            </w:tcBorders>
            <w:vAlign w:val="center"/>
          </w:tcPr>
          <w:p>
            <w:pPr>
              <w:pStyle w:val="Normal"/>
              <w:rPr>
                <w:sz w:val="24"/>
                <w:szCs w:val="24"/>
              </w:rPr>
            </w:pPr>
            <w:r>
              <w:rPr>
                <w:sz w:val="24"/>
                <w:szCs w:val="24"/>
              </w:rPr>
              <w:t>Кемеровская область - Кузбасс</w:t>
            </w:r>
          </w:p>
        </w:tc>
        <w:tc>
          <w:tcPr>
            <w:tcW w:w="113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781,45</w:t>
            </w:r>
          </w:p>
        </w:tc>
        <w:tc>
          <w:tcPr>
            <w:tcW w:w="1367"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876,42</w:t>
            </w:r>
          </w:p>
        </w:tc>
        <w:tc>
          <w:tcPr>
            <w:tcW w:w="1232"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850,57</w:t>
            </w:r>
          </w:p>
        </w:tc>
        <w:tc>
          <w:tcPr>
            <w:tcW w:w="1694"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+8,8</w:t>
            </w:r>
          </w:p>
        </w:tc>
        <w:tc>
          <w:tcPr>
            <w:tcW w:w="29" w:type="dxa"/>
            <w:tcBorders/>
            <w:tcMar>
              <w:left w:w="0" w:type="dxa"/>
              <w:right w:w="0" w:type="dxa"/>
            </w:tcMar>
          </w:tcPr>
          <w:p>
            <w:pPr>
              <w:pStyle w:val="Normal"/>
              <w:snapToGrid w:val="false"/>
              <w:rPr>
                <w:sz w:val="24"/>
                <w:szCs w:val="24"/>
              </w:rPr>
            </w:pPr>
            <w:r>
              <w:rPr>
                <w:sz w:val="24"/>
                <w:szCs w:val="24"/>
              </w:rPr>
            </w:r>
          </w:p>
        </w:tc>
      </w:tr>
      <w:tr>
        <w:trPr>
          <w:trHeight w:val="645" w:hRule="atLeast"/>
        </w:trPr>
        <w:tc>
          <w:tcPr>
            <w:tcW w:w="2348" w:type="dxa"/>
            <w:tcBorders>
              <w:top w:val="single" w:sz="4" w:space="0" w:color="000000"/>
              <w:left w:val="single" w:sz="4" w:space="0" w:color="000000"/>
              <w:bottom w:val="single" w:sz="4" w:space="0" w:color="000000"/>
              <w:right w:val="single" w:sz="4" w:space="0" w:color="000000"/>
            </w:tcBorders>
            <w:vAlign w:val="center"/>
          </w:tcPr>
          <w:p>
            <w:pPr>
              <w:pStyle w:val="Normal"/>
              <w:rPr>
                <w:sz w:val="24"/>
                <w:szCs w:val="24"/>
              </w:rPr>
            </w:pPr>
            <w:r>
              <w:rPr>
                <w:sz w:val="24"/>
                <w:szCs w:val="24"/>
              </w:rPr>
              <w:t>Топкинский муниципальный округ</w:t>
            </w:r>
          </w:p>
        </w:tc>
        <w:tc>
          <w:tcPr>
            <w:tcW w:w="1131"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864,7</w:t>
            </w:r>
          </w:p>
        </w:tc>
        <w:tc>
          <w:tcPr>
            <w:tcW w:w="1367"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902,01</w:t>
            </w:r>
          </w:p>
        </w:tc>
        <w:tc>
          <w:tcPr>
            <w:tcW w:w="1232"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779,45</w:t>
            </w:r>
          </w:p>
        </w:tc>
        <w:tc>
          <w:tcPr>
            <w:tcW w:w="1694" w:type="dxa"/>
            <w:gridSpan w:val="2"/>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-9,9</w:t>
            </w:r>
          </w:p>
        </w:tc>
        <w:tc>
          <w:tcPr>
            <w:tcW w:w="29" w:type="dxa"/>
            <w:tcBorders/>
            <w:tcMar>
              <w:left w:w="0" w:type="dxa"/>
              <w:right w:w="0" w:type="dxa"/>
            </w:tcMar>
          </w:tcPr>
          <w:p>
            <w:pPr>
              <w:pStyle w:val="Normal"/>
              <w:snapToGrid w:val="false"/>
              <w:rPr>
                <w:rFonts w:ascii="Arial" w:hAnsi="Arial" w:cs="Arial"/>
                <w:b/>
                <w:b/>
                <w:bCs/>
                <w:sz w:val="24"/>
                <w:szCs w:val="24"/>
              </w:rPr>
            </w:pPr>
            <w:r>
              <w:rPr>
                <w:rFonts w:cs="Arial" w:ascii="Arial" w:hAnsi="Arial"/>
                <w:b/>
                <w:bCs/>
                <w:sz w:val="24"/>
                <w:szCs w:val="24"/>
              </w:rPr>
            </w:r>
          </w:p>
        </w:tc>
      </w:tr>
    </w:tbl>
    <w:p>
      <w:pPr>
        <w:pStyle w:val="Style28"/>
        <w:spacing w:lineRule="auto" w:line="240" w:before="0" w:after="0"/>
        <w:ind w:left="0" w:right="0" w:firstLine="709"/>
        <w:contextualSpacing/>
        <w:jc w:val="both"/>
        <w:rPr>
          <w:bCs/>
          <w:sz w:val="28"/>
          <w:szCs w:val="28"/>
        </w:rPr>
      </w:pPr>
      <w:r>
        <w:rPr>
          <w:bCs/>
          <w:sz w:val="28"/>
          <w:szCs w:val="28"/>
        </w:rPr>
      </w:r>
    </w:p>
    <w:p>
      <w:pPr>
        <w:pStyle w:val="Normal"/>
        <w:suppressAutoHyphens w:val="false"/>
        <w:spacing w:before="0" w:after="0"/>
        <w:ind w:firstLine="709"/>
        <w:contextualSpacing/>
        <w:jc w:val="both"/>
        <w:rPr>
          <w:bCs/>
          <w:sz w:val="28"/>
          <w:szCs w:val="28"/>
          <w:lang w:eastAsia="ru-RU"/>
        </w:rPr>
      </w:pPr>
      <w:r>
        <w:rPr>
          <w:bCs/>
          <w:sz w:val="28"/>
          <w:szCs w:val="28"/>
          <w:lang w:eastAsia="ru-RU"/>
        </w:rPr>
        <w:t>Общая заболеваемость населения за период с 2020 по 2022 год в Топкинском муниципальном округе снизилась на 1,5 %, а первичная на 9,9%</w:t>
      </w:r>
    </w:p>
    <w:p>
      <w:pPr>
        <w:pStyle w:val="Style28"/>
        <w:spacing w:lineRule="auto" w:line="240" w:before="0" w:after="0"/>
        <w:ind w:left="0" w:right="0" w:firstLine="709"/>
        <w:contextualSpacing/>
        <w:jc w:val="both"/>
        <w:rPr>
          <w:bCs/>
          <w:sz w:val="28"/>
          <w:szCs w:val="28"/>
        </w:rPr>
      </w:pPr>
      <w:r>
        <w:rPr>
          <w:bCs/>
          <w:sz w:val="28"/>
          <w:szCs w:val="28"/>
        </w:rPr>
        <w:t>В структуре заболеваемости как общей, так и с диагнозом, установленным впервые в жизни, первое место занимают болезни органов дыхания, второе место болезни системы кровообращения.</w:t>
      </w:r>
    </w:p>
    <w:p>
      <w:pPr>
        <w:pStyle w:val="Normal"/>
        <w:jc w:val="center"/>
        <w:rPr>
          <w:rFonts w:ascii="Arial" w:hAnsi="Arial" w:cs="Arial"/>
          <w:b/>
          <w:b/>
          <w:bCs/>
        </w:rPr>
      </w:pPr>
      <w:r>
        <w:rPr>
          <w:rFonts w:cs="Arial" w:ascii="Arial" w:hAnsi="Arial"/>
          <w:b/>
          <w:bCs/>
        </w:rPr>
      </w:r>
    </w:p>
    <w:p>
      <w:pPr>
        <w:pStyle w:val="Normal"/>
        <w:ind w:firstLine="709"/>
        <w:jc w:val="center"/>
        <w:rPr>
          <w:sz w:val="28"/>
          <w:szCs w:val="28"/>
        </w:rPr>
      </w:pPr>
      <w:r>
        <w:rPr>
          <w:sz w:val="28"/>
          <w:szCs w:val="28"/>
        </w:rPr>
        <w:t>5.2 Заболеваемость болезнями органов дыхания</w:t>
      </w:r>
    </w:p>
    <w:p>
      <w:pPr>
        <w:pStyle w:val="Normal"/>
        <w:ind w:firstLine="709"/>
        <w:jc w:val="both"/>
        <w:rPr>
          <w:sz w:val="28"/>
          <w:szCs w:val="28"/>
        </w:rPr>
      </w:pPr>
      <w:r>
        <w:rPr>
          <w:sz w:val="28"/>
          <w:szCs w:val="28"/>
        </w:rPr>
      </w:r>
    </w:p>
    <w:p>
      <w:pPr>
        <w:pStyle w:val="Normal"/>
        <w:ind w:firstLine="709"/>
        <w:jc w:val="both"/>
        <w:rPr/>
      </w:pPr>
      <w:r>
        <w:rPr>
          <w:i/>
          <w:iCs/>
          <w:sz w:val="28"/>
          <w:szCs w:val="28"/>
          <w:shd w:fill="FFFFFF" w:val="clear"/>
        </w:rPr>
        <w:t>Таблица 12.</w:t>
      </w:r>
      <w:r>
        <w:rPr>
          <w:i/>
          <w:iCs/>
          <w:sz w:val="28"/>
          <w:szCs w:val="28"/>
        </w:rPr>
        <w:t xml:space="preserve"> Заболеваемость населения болезнями органов дыхания за 2020-2022 гг. (на 1000 населения)</w:t>
      </w:r>
    </w:p>
    <w:tbl>
      <w:tblPr>
        <w:tblW w:w="5000" w:type="pct"/>
        <w:jc w:val="left"/>
        <w:tblInd w:w="-5" w:type="dxa"/>
        <w:tblLayout w:type="fixed"/>
        <w:tblCellMar>
          <w:top w:w="0" w:type="dxa"/>
          <w:left w:w="108" w:type="dxa"/>
          <w:bottom w:w="0" w:type="dxa"/>
          <w:right w:w="108" w:type="dxa"/>
        </w:tblCellMar>
      </w:tblPr>
      <w:tblGrid>
        <w:gridCol w:w="2687"/>
        <w:gridCol w:w="1012"/>
        <w:gridCol w:w="1007"/>
        <w:gridCol w:w="1189"/>
        <w:gridCol w:w="1004"/>
        <w:gridCol w:w="963"/>
        <w:gridCol w:w="1210"/>
      </w:tblGrid>
      <w:tr>
        <w:trPr>
          <w:trHeight w:val="404" w:hRule="atLeast"/>
        </w:trPr>
        <w:tc>
          <w:tcPr>
            <w:tcW w:w="268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napToGrid w:val="false"/>
              <w:jc w:val="center"/>
              <w:rPr>
                <w:sz w:val="24"/>
                <w:szCs w:val="24"/>
              </w:rPr>
            </w:pPr>
            <w:r>
              <w:rPr>
                <w:sz w:val="24"/>
                <w:szCs w:val="24"/>
              </w:rPr>
            </w:r>
          </w:p>
        </w:tc>
        <w:tc>
          <w:tcPr>
            <w:tcW w:w="3208" w:type="dxa"/>
            <w:gridSpan w:val="3"/>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Общая</w:t>
            </w:r>
          </w:p>
        </w:tc>
        <w:tc>
          <w:tcPr>
            <w:tcW w:w="3177" w:type="dxa"/>
            <w:gridSpan w:val="3"/>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Первичная</w:t>
            </w:r>
          </w:p>
        </w:tc>
      </w:tr>
      <w:tr>
        <w:trPr>
          <w:trHeight w:val="404" w:hRule="atLeast"/>
        </w:trPr>
        <w:tc>
          <w:tcPr>
            <w:tcW w:w="26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napToGrid w:val="false"/>
              <w:jc w:val="center"/>
              <w:rPr>
                <w:sz w:val="24"/>
                <w:szCs w:val="24"/>
              </w:rPr>
            </w:pPr>
            <w:r>
              <w:rPr>
                <w:sz w:val="24"/>
                <w:szCs w:val="24"/>
              </w:rPr>
            </w:r>
          </w:p>
        </w:tc>
        <w:tc>
          <w:tcPr>
            <w:tcW w:w="1012"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2020</w:t>
            </w:r>
          </w:p>
        </w:tc>
        <w:tc>
          <w:tcPr>
            <w:tcW w:w="100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2021</w:t>
            </w:r>
          </w:p>
        </w:tc>
        <w:tc>
          <w:tcPr>
            <w:tcW w:w="11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2022</w:t>
            </w:r>
          </w:p>
        </w:tc>
        <w:tc>
          <w:tcPr>
            <w:tcW w:w="10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2020</w:t>
            </w:r>
          </w:p>
        </w:tc>
        <w:tc>
          <w:tcPr>
            <w:tcW w:w="96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2021</w:t>
            </w:r>
          </w:p>
        </w:tc>
        <w:tc>
          <w:tcPr>
            <w:tcW w:w="1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2022</w:t>
            </w:r>
          </w:p>
        </w:tc>
      </w:tr>
      <w:tr>
        <w:trPr>
          <w:trHeight w:val="454" w:hRule="atLeast"/>
        </w:trPr>
        <w:tc>
          <w:tcPr>
            <w:tcW w:w="2687" w:type="dxa"/>
            <w:tcBorders>
              <w:top w:val="single" w:sz="4" w:space="0" w:color="000000"/>
              <w:left w:val="single" w:sz="4" w:space="0" w:color="000000"/>
              <w:bottom w:val="single" w:sz="4" w:space="0" w:color="000000"/>
              <w:right w:val="single" w:sz="4" w:space="0" w:color="000000"/>
            </w:tcBorders>
            <w:vAlign w:val="center"/>
          </w:tcPr>
          <w:p>
            <w:pPr>
              <w:pStyle w:val="Normal"/>
              <w:rPr>
                <w:sz w:val="24"/>
                <w:szCs w:val="24"/>
              </w:rPr>
            </w:pPr>
            <w:r>
              <w:rPr>
                <w:sz w:val="24"/>
                <w:szCs w:val="24"/>
              </w:rPr>
              <w:t>Кемеровская область - Кузбасс</w:t>
            </w:r>
          </w:p>
        </w:tc>
        <w:tc>
          <w:tcPr>
            <w:tcW w:w="1012"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353,25</w:t>
            </w:r>
          </w:p>
        </w:tc>
        <w:tc>
          <w:tcPr>
            <w:tcW w:w="100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407,28</w:t>
            </w:r>
          </w:p>
        </w:tc>
        <w:tc>
          <w:tcPr>
            <w:tcW w:w="11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372,29</w:t>
            </w:r>
          </w:p>
        </w:tc>
        <w:tc>
          <w:tcPr>
            <w:tcW w:w="10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317,24</w:t>
            </w:r>
          </w:p>
        </w:tc>
        <w:tc>
          <w:tcPr>
            <w:tcW w:w="96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366,52</w:t>
            </w:r>
          </w:p>
        </w:tc>
        <w:tc>
          <w:tcPr>
            <w:tcW w:w="1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328,28</w:t>
            </w:r>
          </w:p>
        </w:tc>
      </w:tr>
      <w:tr>
        <w:trPr>
          <w:trHeight w:val="454" w:hRule="atLeast"/>
        </w:trPr>
        <w:tc>
          <w:tcPr>
            <w:tcW w:w="2687" w:type="dxa"/>
            <w:tcBorders>
              <w:top w:val="single" w:sz="4" w:space="0" w:color="000000"/>
              <w:left w:val="single" w:sz="4" w:space="0" w:color="000000"/>
              <w:bottom w:val="single" w:sz="4" w:space="0" w:color="000000"/>
              <w:right w:val="single" w:sz="4" w:space="0" w:color="000000"/>
            </w:tcBorders>
            <w:vAlign w:val="center"/>
          </w:tcPr>
          <w:p>
            <w:pPr>
              <w:pStyle w:val="Normal"/>
              <w:rPr>
                <w:sz w:val="24"/>
                <w:szCs w:val="24"/>
              </w:rPr>
            </w:pPr>
            <w:r>
              <w:rPr>
                <w:sz w:val="24"/>
                <w:szCs w:val="24"/>
              </w:rPr>
              <w:t>Топкинский муниципальный округ</w:t>
            </w:r>
          </w:p>
        </w:tc>
        <w:tc>
          <w:tcPr>
            <w:tcW w:w="1012"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278</w:t>
            </w:r>
          </w:p>
        </w:tc>
        <w:tc>
          <w:tcPr>
            <w:tcW w:w="100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341,92</w:t>
            </w:r>
          </w:p>
        </w:tc>
        <w:tc>
          <w:tcPr>
            <w:tcW w:w="11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255,76</w:t>
            </w:r>
          </w:p>
        </w:tc>
        <w:tc>
          <w:tcPr>
            <w:tcW w:w="10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267,7</w:t>
            </w:r>
          </w:p>
        </w:tc>
        <w:tc>
          <w:tcPr>
            <w:tcW w:w="96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321,44</w:t>
            </w:r>
          </w:p>
        </w:tc>
        <w:tc>
          <w:tcPr>
            <w:tcW w:w="1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228,77</w:t>
            </w:r>
          </w:p>
        </w:tc>
      </w:tr>
    </w:tbl>
    <w:p>
      <w:pPr>
        <w:pStyle w:val="ListParagraph"/>
        <w:keepNext w:val="true"/>
        <w:numPr>
          <w:ilvl w:val="0"/>
          <w:numId w:val="0"/>
        </w:numPr>
        <w:spacing w:lineRule="auto" w:line="240" w:before="0" w:after="0"/>
        <w:ind w:left="0" w:right="0" w:hanging="0"/>
        <w:outlineLvl w:val="0"/>
        <w:rPr>
          <w:rFonts w:ascii="Times New Roman" w:hAnsi="Times New Roman" w:cs="Times New Roman"/>
          <w:sz w:val="28"/>
          <w:szCs w:val="28"/>
        </w:rPr>
      </w:pPr>
      <w:r>
        <w:rPr>
          <w:rFonts w:cs="Times New Roman" w:ascii="Times New Roman" w:hAnsi="Times New Roman"/>
          <w:sz w:val="28"/>
          <w:szCs w:val="28"/>
        </w:rPr>
      </w:r>
    </w:p>
    <w:p>
      <w:pPr>
        <w:pStyle w:val="Normal"/>
        <w:suppressAutoHyphens w:val="false"/>
        <w:spacing w:before="0" w:after="0"/>
        <w:ind w:firstLine="709"/>
        <w:contextualSpacing/>
        <w:jc w:val="both"/>
        <w:rPr>
          <w:bCs/>
          <w:sz w:val="28"/>
          <w:szCs w:val="28"/>
          <w:lang w:eastAsia="ru-RU"/>
        </w:rPr>
      </w:pPr>
      <w:bookmarkStart w:id="7" w:name="_Hlk170467150"/>
      <w:bookmarkEnd w:id="7"/>
      <w:r>
        <w:rPr>
          <w:bCs/>
          <w:sz w:val="28"/>
          <w:szCs w:val="28"/>
          <w:lang w:eastAsia="ru-RU"/>
        </w:rPr>
        <w:t>Общая заболеваемость болезнями органов дыхания населения за период с 2020 по 2022 год в Топкинском муниципальном округе снизилась на 8,0 %, а первичная на 14,5 %</w:t>
      </w:r>
    </w:p>
    <w:p>
      <w:pPr>
        <w:pStyle w:val="Normal"/>
        <w:jc w:val="both"/>
        <w:rPr>
          <w:bCs/>
          <w:sz w:val="28"/>
          <w:szCs w:val="28"/>
          <w:lang w:eastAsia="ru-RU"/>
        </w:rPr>
      </w:pPr>
      <w:r>
        <w:rPr>
          <w:bCs/>
          <w:sz w:val="28"/>
          <w:szCs w:val="28"/>
          <w:lang w:eastAsia="ru-RU"/>
        </w:rPr>
      </w:r>
      <w:bookmarkStart w:id="8" w:name="_Hlk170467150"/>
      <w:bookmarkStart w:id="9" w:name="_Hlk170467150"/>
      <w:bookmarkEnd w:id="9"/>
    </w:p>
    <w:p>
      <w:pPr>
        <w:pStyle w:val="ListParagraph"/>
        <w:keepNext w:val="true"/>
        <w:numPr>
          <w:ilvl w:val="1"/>
          <w:numId w:val="4"/>
        </w:numPr>
        <w:spacing w:lineRule="auto" w:line="240" w:before="0" w:after="0"/>
        <w:jc w:val="center"/>
        <w:outlineLvl w:val="0"/>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Заболеваемость болезнями системы кровообращения</w:t>
      </w:r>
    </w:p>
    <w:p>
      <w:pPr>
        <w:pStyle w:val="Normal"/>
        <w:ind w:firstLine="709"/>
        <w:jc w:val="both"/>
        <w:rPr>
          <w:sz w:val="28"/>
          <w:szCs w:val="28"/>
        </w:rPr>
      </w:pPr>
      <w:r>
        <w:rPr>
          <w:sz w:val="28"/>
          <w:szCs w:val="28"/>
        </w:rPr>
      </w:r>
    </w:p>
    <w:p>
      <w:pPr>
        <w:pStyle w:val="Normal"/>
        <w:ind w:firstLine="709"/>
        <w:jc w:val="both"/>
        <w:rPr/>
      </w:pPr>
      <w:r>
        <w:rPr>
          <w:i/>
          <w:iCs/>
          <w:sz w:val="28"/>
          <w:szCs w:val="28"/>
          <w:shd w:fill="FFFFFF" w:val="clear"/>
        </w:rPr>
        <w:t>Таблица 13.</w:t>
      </w:r>
      <w:r>
        <w:rPr>
          <w:i/>
          <w:iCs/>
          <w:sz w:val="28"/>
          <w:szCs w:val="28"/>
        </w:rPr>
        <w:t xml:space="preserve"> Заболеваемость населения </w:t>
      </w:r>
      <w:r>
        <w:rPr>
          <w:i/>
          <w:iCs/>
          <w:sz w:val="28"/>
          <w:szCs w:val="28"/>
          <w:shd w:fill="FFFFFF" w:val="clear"/>
        </w:rPr>
        <w:t>БСК</w:t>
      </w:r>
      <w:r>
        <w:rPr>
          <w:i/>
          <w:iCs/>
          <w:sz w:val="28"/>
          <w:szCs w:val="28"/>
        </w:rPr>
        <w:t xml:space="preserve"> за 2020-2022 гг. (на 1000 населения</w:t>
      </w:r>
      <w:r>
        <w:rPr>
          <w:sz w:val="28"/>
          <w:szCs w:val="28"/>
        </w:rPr>
        <w:t>)</w:t>
      </w:r>
    </w:p>
    <w:tbl>
      <w:tblPr>
        <w:tblW w:w="5000" w:type="pct"/>
        <w:jc w:val="left"/>
        <w:tblInd w:w="-5" w:type="dxa"/>
        <w:tblLayout w:type="fixed"/>
        <w:tblCellMar>
          <w:top w:w="0" w:type="dxa"/>
          <w:left w:w="108" w:type="dxa"/>
          <w:bottom w:w="0" w:type="dxa"/>
          <w:right w:w="108" w:type="dxa"/>
        </w:tblCellMar>
      </w:tblPr>
      <w:tblGrid>
        <w:gridCol w:w="2687"/>
        <w:gridCol w:w="1012"/>
        <w:gridCol w:w="1007"/>
        <w:gridCol w:w="1189"/>
        <w:gridCol w:w="1004"/>
        <w:gridCol w:w="963"/>
        <w:gridCol w:w="1210"/>
      </w:tblGrid>
      <w:tr>
        <w:trPr>
          <w:trHeight w:val="404" w:hRule="atLeast"/>
        </w:trPr>
        <w:tc>
          <w:tcPr>
            <w:tcW w:w="268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snapToGrid w:val="false"/>
              <w:jc w:val="center"/>
              <w:rPr>
                <w:sz w:val="24"/>
                <w:szCs w:val="24"/>
              </w:rPr>
            </w:pPr>
            <w:r>
              <w:rPr>
                <w:sz w:val="24"/>
                <w:szCs w:val="24"/>
              </w:rPr>
            </w:r>
          </w:p>
        </w:tc>
        <w:tc>
          <w:tcPr>
            <w:tcW w:w="3208" w:type="dxa"/>
            <w:gridSpan w:val="3"/>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Общая</w:t>
            </w:r>
          </w:p>
        </w:tc>
        <w:tc>
          <w:tcPr>
            <w:tcW w:w="3177" w:type="dxa"/>
            <w:gridSpan w:val="3"/>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Первичная</w:t>
            </w:r>
          </w:p>
        </w:tc>
      </w:tr>
      <w:tr>
        <w:trPr>
          <w:trHeight w:val="404" w:hRule="atLeast"/>
        </w:trPr>
        <w:tc>
          <w:tcPr>
            <w:tcW w:w="26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napToGrid w:val="false"/>
              <w:jc w:val="center"/>
              <w:rPr>
                <w:sz w:val="24"/>
                <w:szCs w:val="24"/>
              </w:rPr>
            </w:pPr>
            <w:r>
              <w:rPr>
                <w:sz w:val="24"/>
                <w:szCs w:val="24"/>
              </w:rPr>
            </w:r>
          </w:p>
        </w:tc>
        <w:tc>
          <w:tcPr>
            <w:tcW w:w="1012"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2020</w:t>
            </w:r>
          </w:p>
        </w:tc>
        <w:tc>
          <w:tcPr>
            <w:tcW w:w="100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2021</w:t>
            </w:r>
          </w:p>
        </w:tc>
        <w:tc>
          <w:tcPr>
            <w:tcW w:w="11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2022</w:t>
            </w:r>
          </w:p>
        </w:tc>
        <w:tc>
          <w:tcPr>
            <w:tcW w:w="10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2020</w:t>
            </w:r>
          </w:p>
        </w:tc>
        <w:tc>
          <w:tcPr>
            <w:tcW w:w="96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2021</w:t>
            </w:r>
          </w:p>
        </w:tc>
        <w:tc>
          <w:tcPr>
            <w:tcW w:w="1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2022</w:t>
            </w:r>
          </w:p>
        </w:tc>
      </w:tr>
      <w:tr>
        <w:trPr>
          <w:trHeight w:val="454" w:hRule="atLeast"/>
        </w:trPr>
        <w:tc>
          <w:tcPr>
            <w:tcW w:w="2687" w:type="dxa"/>
            <w:tcBorders>
              <w:top w:val="single" w:sz="4" w:space="0" w:color="000000"/>
              <w:left w:val="single" w:sz="4" w:space="0" w:color="000000"/>
              <w:bottom w:val="single" w:sz="4" w:space="0" w:color="000000"/>
              <w:right w:val="single" w:sz="4" w:space="0" w:color="000000"/>
            </w:tcBorders>
            <w:vAlign w:val="center"/>
          </w:tcPr>
          <w:p>
            <w:pPr>
              <w:pStyle w:val="Normal"/>
              <w:rPr>
                <w:sz w:val="24"/>
                <w:szCs w:val="24"/>
              </w:rPr>
            </w:pPr>
            <w:r>
              <w:rPr>
                <w:sz w:val="24"/>
                <w:szCs w:val="24"/>
              </w:rPr>
              <w:t>Кемеровская область - Кузбасс</w:t>
            </w:r>
          </w:p>
        </w:tc>
        <w:tc>
          <w:tcPr>
            <w:tcW w:w="1012"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233,05</w:t>
            </w:r>
          </w:p>
        </w:tc>
        <w:tc>
          <w:tcPr>
            <w:tcW w:w="100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233,04</w:t>
            </w:r>
          </w:p>
        </w:tc>
        <w:tc>
          <w:tcPr>
            <w:tcW w:w="11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252,57</w:t>
            </w:r>
          </w:p>
        </w:tc>
        <w:tc>
          <w:tcPr>
            <w:tcW w:w="10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41,21</w:t>
            </w:r>
          </w:p>
        </w:tc>
        <w:tc>
          <w:tcPr>
            <w:tcW w:w="96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41,2</w:t>
            </w:r>
          </w:p>
        </w:tc>
        <w:tc>
          <w:tcPr>
            <w:tcW w:w="1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36,04</w:t>
            </w:r>
          </w:p>
        </w:tc>
      </w:tr>
      <w:tr>
        <w:trPr>
          <w:trHeight w:val="454" w:hRule="atLeast"/>
        </w:trPr>
        <w:tc>
          <w:tcPr>
            <w:tcW w:w="2687" w:type="dxa"/>
            <w:tcBorders>
              <w:top w:val="single" w:sz="4" w:space="0" w:color="000000"/>
              <w:left w:val="single" w:sz="4" w:space="0" w:color="000000"/>
              <w:bottom w:val="single" w:sz="4" w:space="0" w:color="000000"/>
              <w:right w:val="single" w:sz="4" w:space="0" w:color="000000"/>
            </w:tcBorders>
            <w:vAlign w:val="center"/>
          </w:tcPr>
          <w:p>
            <w:pPr>
              <w:pStyle w:val="Normal"/>
              <w:rPr>
                <w:sz w:val="24"/>
                <w:szCs w:val="24"/>
              </w:rPr>
            </w:pPr>
            <w:r>
              <w:rPr>
                <w:sz w:val="24"/>
                <w:szCs w:val="24"/>
              </w:rPr>
              <w:t>Топкинский муниципальный округ</w:t>
            </w:r>
          </w:p>
        </w:tc>
        <w:tc>
          <w:tcPr>
            <w:tcW w:w="1012"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245,62</w:t>
            </w:r>
          </w:p>
        </w:tc>
        <w:tc>
          <w:tcPr>
            <w:tcW w:w="100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246,11</w:t>
            </w:r>
          </w:p>
        </w:tc>
        <w:tc>
          <w:tcPr>
            <w:tcW w:w="118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243,89</w:t>
            </w:r>
          </w:p>
        </w:tc>
        <w:tc>
          <w:tcPr>
            <w:tcW w:w="1004"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80,09</w:t>
            </w:r>
          </w:p>
        </w:tc>
        <w:tc>
          <w:tcPr>
            <w:tcW w:w="963"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50,83</w:t>
            </w:r>
          </w:p>
        </w:tc>
        <w:tc>
          <w:tcPr>
            <w:tcW w:w="121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41,18</w:t>
            </w:r>
          </w:p>
        </w:tc>
      </w:tr>
    </w:tbl>
    <w:p>
      <w:pPr>
        <w:pStyle w:val="Normal"/>
        <w:ind w:firstLine="709"/>
        <w:jc w:val="both"/>
        <w:rPr>
          <w:sz w:val="28"/>
          <w:szCs w:val="28"/>
        </w:rPr>
      </w:pPr>
      <w:r>
        <w:rPr>
          <w:sz w:val="28"/>
          <w:szCs w:val="28"/>
        </w:rPr>
      </w:r>
    </w:p>
    <w:p>
      <w:pPr>
        <w:pStyle w:val="Normal"/>
        <w:suppressAutoHyphens w:val="false"/>
        <w:spacing w:before="0" w:after="0"/>
        <w:ind w:firstLine="709"/>
        <w:contextualSpacing/>
        <w:jc w:val="both"/>
        <w:rPr>
          <w:bCs/>
          <w:sz w:val="28"/>
          <w:szCs w:val="28"/>
          <w:lang w:eastAsia="ru-RU"/>
        </w:rPr>
      </w:pPr>
      <w:r>
        <w:rPr>
          <w:bCs/>
          <w:sz w:val="28"/>
          <w:szCs w:val="28"/>
          <w:lang w:eastAsia="ru-RU"/>
        </w:rPr>
        <w:t>Общая заболеваемость болезнями системы кровообращения населения за период с 2020 по 2022 год в Топкинском муниципальном округе снизилась на 0,7 %, а первичная на 48,6 %</w:t>
      </w:r>
    </w:p>
    <w:p>
      <w:pPr>
        <w:pStyle w:val="Normal"/>
        <w:ind w:firstLine="709"/>
        <w:jc w:val="both"/>
        <w:rPr>
          <w:sz w:val="28"/>
          <w:szCs w:val="28"/>
        </w:rPr>
      </w:pPr>
      <w:r>
        <w:rPr>
          <w:sz w:val="28"/>
          <w:szCs w:val="28"/>
        </w:rPr>
      </w:r>
    </w:p>
    <w:p>
      <w:pPr>
        <w:pStyle w:val="ListParagraph"/>
        <w:numPr>
          <w:ilvl w:val="0"/>
          <w:numId w:val="5"/>
        </w:numPr>
        <w:spacing w:lineRule="auto" w:line="240" w:before="0" w:after="0"/>
        <w:ind w:left="0" w:right="0" w:hanging="375"/>
        <w:jc w:val="both"/>
        <w:rPr>
          <w:rFonts w:ascii="Times New Roman" w:hAnsi="Times New Roman" w:cs="Times New Roman"/>
          <w:vanish/>
          <w:sz w:val="28"/>
          <w:szCs w:val="28"/>
          <w:lang w:val="ru-RU" w:eastAsia="ru-RU"/>
        </w:rPr>
      </w:pPr>
      <w:r>
        <w:rPr>
          <w:rFonts w:cs="Times New Roman" w:ascii="Times New Roman" w:hAnsi="Times New Roman"/>
          <w:vanish/>
          <w:sz w:val="28"/>
          <w:szCs w:val="28"/>
          <w:lang w:val="ru-RU" w:eastAsia="ru-RU"/>
        </w:rPr>
      </w:r>
    </w:p>
    <w:p>
      <w:pPr>
        <w:pStyle w:val="ListParagraph"/>
        <w:numPr>
          <w:ilvl w:val="0"/>
          <w:numId w:val="5"/>
        </w:numPr>
        <w:spacing w:lineRule="auto" w:line="240" w:before="0" w:after="0"/>
        <w:ind w:left="0" w:right="0" w:hanging="375"/>
        <w:jc w:val="both"/>
        <w:rPr>
          <w:rFonts w:ascii="Times New Roman" w:hAnsi="Times New Roman" w:cs="Times New Roman"/>
          <w:vanish/>
          <w:sz w:val="28"/>
          <w:szCs w:val="28"/>
          <w:lang w:val="ru-RU" w:eastAsia="ru-RU"/>
        </w:rPr>
      </w:pPr>
      <w:r>
        <w:rPr>
          <w:rFonts w:cs="Times New Roman" w:ascii="Times New Roman" w:hAnsi="Times New Roman"/>
          <w:vanish/>
          <w:sz w:val="28"/>
          <w:szCs w:val="28"/>
          <w:lang w:val="ru-RU" w:eastAsia="ru-RU"/>
        </w:rPr>
      </w:r>
    </w:p>
    <w:p>
      <w:pPr>
        <w:pStyle w:val="ListParagraph"/>
        <w:numPr>
          <w:ilvl w:val="1"/>
          <w:numId w:val="5"/>
        </w:numPr>
        <w:spacing w:lineRule="auto" w:line="240" w:before="0" w:after="0"/>
        <w:ind w:left="0" w:right="0" w:hanging="375"/>
        <w:jc w:val="both"/>
        <w:rPr>
          <w:rFonts w:ascii="Times New Roman" w:hAnsi="Times New Roman" w:cs="Times New Roman"/>
          <w:vanish/>
          <w:sz w:val="28"/>
          <w:szCs w:val="28"/>
          <w:lang w:val="ru-RU" w:eastAsia="ru-RU"/>
        </w:rPr>
      </w:pPr>
      <w:r>
        <w:rPr>
          <w:rFonts w:cs="Times New Roman" w:ascii="Times New Roman" w:hAnsi="Times New Roman"/>
          <w:vanish/>
          <w:sz w:val="28"/>
          <w:szCs w:val="28"/>
          <w:lang w:val="ru-RU" w:eastAsia="ru-RU"/>
        </w:rPr>
      </w:r>
    </w:p>
    <w:p>
      <w:pPr>
        <w:pStyle w:val="ListParagraph"/>
        <w:spacing w:lineRule="auto" w:line="240" w:before="0" w:after="0"/>
        <w:ind w:left="0" w:right="0" w:hanging="0"/>
        <w:jc w:val="center"/>
        <w:rPr/>
      </w:pPr>
      <w:r>
        <w:rPr>
          <w:rFonts w:cs="Times New Roman" w:ascii="Times New Roman" w:hAnsi="Times New Roman"/>
          <w:sz w:val="28"/>
          <w:szCs w:val="28"/>
          <w:lang w:eastAsia="ru-RU"/>
        </w:rPr>
        <w:t xml:space="preserve">5.4    </w:t>
      </w:r>
      <w:r>
        <w:rPr>
          <w:rFonts w:cs="Times New Roman" w:ascii="Times New Roman" w:hAnsi="Times New Roman"/>
          <w:sz w:val="28"/>
          <w:szCs w:val="28"/>
          <w:lang w:val="ru-RU" w:eastAsia="ru-RU"/>
        </w:rPr>
        <w:t>Заболеваемость онкологическими заболеваниями</w:t>
      </w:r>
    </w:p>
    <w:p>
      <w:pPr>
        <w:pStyle w:val="ListParagraph"/>
        <w:spacing w:lineRule="auto" w:line="240" w:before="0" w:after="0"/>
        <w:ind w:left="0" w:right="0" w:hanging="0"/>
        <w:rPr>
          <w:rFonts w:ascii="Times New Roman" w:hAnsi="Times New Roman" w:cs="Times New Roman"/>
          <w:sz w:val="28"/>
          <w:szCs w:val="28"/>
          <w:lang w:val="ru-RU" w:eastAsia="ru-RU"/>
        </w:rPr>
      </w:pPr>
      <w:r>
        <w:rPr>
          <w:rFonts w:cs="Times New Roman" w:ascii="Times New Roman" w:hAnsi="Times New Roman"/>
          <w:sz w:val="28"/>
          <w:szCs w:val="28"/>
          <w:lang w:val="ru-RU" w:eastAsia="ru-RU"/>
        </w:rPr>
      </w:r>
    </w:p>
    <w:p>
      <w:pPr>
        <w:pStyle w:val="Normal"/>
        <w:ind w:firstLine="567"/>
        <w:jc w:val="both"/>
        <w:rPr>
          <w:bCs/>
          <w:sz w:val="28"/>
          <w:szCs w:val="28"/>
        </w:rPr>
      </w:pPr>
      <w:r>
        <w:rPr>
          <w:bCs/>
          <w:sz w:val="28"/>
          <w:szCs w:val="28"/>
        </w:rPr>
        <w:t>Особую роль в заболеваемости населением играют злокачественные новообразования, как наиболее приоритетная медико-социальная проблема системы здравоохранения, так как зачастую занимают ведущее место по причинам смертности населения.</w:t>
      </w:r>
    </w:p>
    <w:p>
      <w:pPr>
        <w:pStyle w:val="Normal"/>
        <w:jc w:val="both"/>
        <w:rPr>
          <w:bCs/>
          <w:sz w:val="28"/>
          <w:szCs w:val="28"/>
        </w:rPr>
      </w:pPr>
      <w:r>
        <w:rPr>
          <w:bCs/>
          <w:sz w:val="28"/>
          <w:szCs w:val="28"/>
        </w:rPr>
      </w:r>
    </w:p>
    <w:p>
      <w:pPr>
        <w:pStyle w:val="Normal"/>
        <w:ind w:firstLine="709"/>
        <w:jc w:val="both"/>
        <w:rPr/>
      </w:pPr>
      <w:r>
        <w:rPr>
          <w:i/>
          <w:iCs/>
          <w:color w:val="000000"/>
          <w:sz w:val="28"/>
          <w:szCs w:val="28"/>
          <w:shd w:fill="FFFFFF" w:val="clear"/>
        </w:rPr>
        <w:t xml:space="preserve">Таблица 14. </w:t>
      </w:r>
      <w:r>
        <w:rPr>
          <w:i/>
          <w:iCs/>
          <w:color w:val="000000"/>
          <w:sz w:val="28"/>
          <w:szCs w:val="28"/>
        </w:rPr>
        <w:t>Первичная заболеваемость злокачественными новообразованиями 2020-2022 гг. (на 100 тыс. нас.)</w:t>
      </w:r>
    </w:p>
    <w:tbl>
      <w:tblPr>
        <w:tblW w:w="4300" w:type="pct"/>
        <w:jc w:val="center"/>
        <w:tblInd w:w="0" w:type="dxa"/>
        <w:tblLayout w:type="fixed"/>
        <w:tblCellMar>
          <w:top w:w="0" w:type="dxa"/>
          <w:left w:w="57" w:type="dxa"/>
          <w:bottom w:w="0" w:type="dxa"/>
          <w:right w:w="57" w:type="dxa"/>
        </w:tblCellMar>
      </w:tblPr>
      <w:tblGrid>
        <w:gridCol w:w="4979"/>
        <w:gridCol w:w="1234"/>
        <w:gridCol w:w="796"/>
        <w:gridCol w:w="792"/>
      </w:tblGrid>
      <w:tr>
        <w:trPr>
          <w:cantSplit w:val="true"/>
        </w:trPr>
        <w:tc>
          <w:tcPr>
            <w:tcW w:w="7801" w:type="dxa"/>
            <w:gridSpan w:val="4"/>
            <w:tcBorders>
              <w:top w:val="single" w:sz="4" w:space="0" w:color="000000"/>
              <w:left w:val="single" w:sz="4" w:space="0" w:color="000000"/>
              <w:bottom w:val="single" w:sz="4" w:space="0" w:color="000000"/>
              <w:right w:val="single" w:sz="4" w:space="0" w:color="000000"/>
            </w:tcBorders>
            <w:vAlign w:val="center"/>
          </w:tcPr>
          <w:p>
            <w:pPr>
              <w:pStyle w:val="Style29"/>
              <w:spacing w:before="40" w:after="40"/>
              <w:jc w:val="center"/>
              <w:rPr>
                <w:rFonts w:ascii="Times New Roman" w:hAnsi="Times New Roman" w:cs="Times New Roman"/>
                <w:sz w:val="24"/>
                <w:szCs w:val="24"/>
              </w:rPr>
            </w:pPr>
            <w:r>
              <w:rPr>
                <w:rFonts w:cs="Times New Roman" w:ascii="Times New Roman" w:hAnsi="Times New Roman"/>
                <w:sz w:val="24"/>
                <w:szCs w:val="24"/>
              </w:rPr>
              <w:t>Злокачественные заболевания на 100 тыс. населения</w:t>
            </w:r>
          </w:p>
        </w:tc>
      </w:tr>
      <w:tr>
        <w:trPr>
          <w:cantSplit w:val="true"/>
        </w:trPr>
        <w:tc>
          <w:tcPr>
            <w:tcW w:w="4979" w:type="dxa"/>
            <w:tcBorders>
              <w:top w:val="single" w:sz="4" w:space="0" w:color="000000"/>
              <w:left w:val="single" w:sz="4" w:space="0" w:color="000000"/>
              <w:bottom w:val="single" w:sz="4" w:space="0" w:color="000000"/>
              <w:right w:val="single" w:sz="4" w:space="0" w:color="000000"/>
            </w:tcBorders>
            <w:vAlign w:val="center"/>
          </w:tcPr>
          <w:p>
            <w:pPr>
              <w:pStyle w:val="Normal"/>
              <w:snapToGrid w:val="false"/>
              <w:rPr>
                <w:sz w:val="24"/>
                <w:szCs w:val="24"/>
              </w:rPr>
            </w:pPr>
            <w:r>
              <w:rPr>
                <w:sz w:val="24"/>
                <w:szCs w:val="24"/>
              </w:rPr>
            </w:r>
          </w:p>
        </w:tc>
        <w:tc>
          <w:tcPr>
            <w:tcW w:w="1234" w:type="dxa"/>
            <w:tcBorders>
              <w:top w:val="single" w:sz="4" w:space="0" w:color="000000"/>
              <w:left w:val="single" w:sz="4" w:space="0" w:color="000000"/>
              <w:bottom w:val="single" w:sz="4" w:space="0" w:color="000000"/>
              <w:right w:val="single" w:sz="4" w:space="0" w:color="000000"/>
            </w:tcBorders>
            <w:vAlign w:val="center"/>
          </w:tcPr>
          <w:p>
            <w:pPr>
              <w:pStyle w:val="Style29"/>
              <w:spacing w:before="40" w:after="40"/>
              <w:jc w:val="center"/>
              <w:rPr>
                <w:rFonts w:ascii="Times New Roman" w:hAnsi="Times New Roman" w:cs="Times New Roman"/>
                <w:sz w:val="24"/>
                <w:szCs w:val="24"/>
              </w:rPr>
            </w:pPr>
            <w:r>
              <w:rPr>
                <w:rFonts w:cs="Times New Roman" w:ascii="Times New Roman" w:hAnsi="Times New Roman"/>
                <w:sz w:val="24"/>
                <w:szCs w:val="24"/>
              </w:rPr>
              <w:t>2020</w:t>
            </w:r>
          </w:p>
        </w:tc>
        <w:tc>
          <w:tcPr>
            <w:tcW w:w="796" w:type="dxa"/>
            <w:tcBorders>
              <w:top w:val="single" w:sz="4" w:space="0" w:color="000000"/>
              <w:left w:val="single" w:sz="4" w:space="0" w:color="000000"/>
              <w:bottom w:val="single" w:sz="4" w:space="0" w:color="000000"/>
              <w:right w:val="single" w:sz="4" w:space="0" w:color="000000"/>
            </w:tcBorders>
            <w:vAlign w:val="center"/>
          </w:tcPr>
          <w:p>
            <w:pPr>
              <w:pStyle w:val="Style29"/>
              <w:spacing w:before="40" w:after="40"/>
              <w:jc w:val="center"/>
              <w:rPr>
                <w:rFonts w:ascii="Times New Roman" w:hAnsi="Times New Roman" w:cs="Times New Roman"/>
                <w:sz w:val="24"/>
                <w:szCs w:val="24"/>
              </w:rPr>
            </w:pPr>
            <w:r>
              <w:rPr>
                <w:rFonts w:cs="Times New Roman" w:ascii="Times New Roman" w:hAnsi="Times New Roman"/>
                <w:sz w:val="24"/>
                <w:szCs w:val="24"/>
              </w:rPr>
              <w:t>2021</w:t>
            </w:r>
          </w:p>
        </w:tc>
        <w:tc>
          <w:tcPr>
            <w:tcW w:w="792" w:type="dxa"/>
            <w:tcBorders>
              <w:top w:val="single" w:sz="4" w:space="0" w:color="000000"/>
              <w:left w:val="single" w:sz="4" w:space="0" w:color="000000"/>
              <w:bottom w:val="single" w:sz="4" w:space="0" w:color="000000"/>
              <w:right w:val="single" w:sz="4" w:space="0" w:color="000000"/>
            </w:tcBorders>
            <w:vAlign w:val="center"/>
          </w:tcPr>
          <w:p>
            <w:pPr>
              <w:pStyle w:val="Style29"/>
              <w:spacing w:before="40" w:after="40"/>
              <w:jc w:val="center"/>
              <w:rPr>
                <w:rFonts w:ascii="Times New Roman" w:hAnsi="Times New Roman" w:cs="Times New Roman"/>
                <w:sz w:val="24"/>
                <w:szCs w:val="24"/>
              </w:rPr>
            </w:pPr>
            <w:r>
              <w:rPr>
                <w:rFonts w:cs="Times New Roman" w:ascii="Times New Roman" w:hAnsi="Times New Roman"/>
                <w:sz w:val="24"/>
                <w:szCs w:val="24"/>
              </w:rPr>
              <w:t>2022</w:t>
            </w:r>
          </w:p>
        </w:tc>
      </w:tr>
      <w:tr>
        <w:trPr/>
        <w:tc>
          <w:tcPr>
            <w:tcW w:w="4979" w:type="dxa"/>
            <w:tcBorders>
              <w:top w:val="single" w:sz="4" w:space="0" w:color="000000"/>
              <w:left w:val="single" w:sz="4" w:space="0" w:color="000000"/>
              <w:bottom w:val="single" w:sz="4" w:space="0" w:color="000000"/>
              <w:right w:val="single" w:sz="4" w:space="0" w:color="000000"/>
            </w:tcBorders>
          </w:tcPr>
          <w:p>
            <w:pPr>
              <w:pStyle w:val="Style29"/>
              <w:spacing w:before="40" w:after="40"/>
              <w:rPr>
                <w:rFonts w:ascii="Times New Roman" w:hAnsi="Times New Roman" w:cs="Times New Roman"/>
                <w:sz w:val="24"/>
                <w:szCs w:val="24"/>
              </w:rPr>
            </w:pPr>
            <w:r>
              <w:rPr>
                <w:rFonts w:cs="Times New Roman" w:ascii="Times New Roman" w:hAnsi="Times New Roman"/>
                <w:sz w:val="24"/>
                <w:szCs w:val="24"/>
              </w:rPr>
              <w:t>Кемеровская область-Кузбасс</w:t>
            </w:r>
          </w:p>
        </w:tc>
        <w:tc>
          <w:tcPr>
            <w:tcW w:w="1234" w:type="dxa"/>
            <w:tcBorders>
              <w:top w:val="single" w:sz="4" w:space="0" w:color="000000"/>
              <w:left w:val="single" w:sz="4" w:space="0" w:color="000000"/>
              <w:bottom w:val="single" w:sz="4" w:space="0" w:color="000000"/>
              <w:right w:val="single" w:sz="4" w:space="0" w:color="000000"/>
            </w:tcBorders>
          </w:tcPr>
          <w:p>
            <w:pPr>
              <w:pStyle w:val="Normal"/>
              <w:spacing w:before="60" w:after="0"/>
              <w:jc w:val="center"/>
              <w:rPr>
                <w:sz w:val="24"/>
                <w:szCs w:val="24"/>
              </w:rPr>
            </w:pPr>
            <w:r>
              <w:rPr>
                <w:sz w:val="24"/>
                <w:szCs w:val="24"/>
              </w:rPr>
              <w:t>401,5</w:t>
            </w:r>
          </w:p>
        </w:tc>
        <w:tc>
          <w:tcPr>
            <w:tcW w:w="796" w:type="dxa"/>
            <w:tcBorders>
              <w:top w:val="single" w:sz="4" w:space="0" w:color="000000"/>
              <w:left w:val="single" w:sz="4" w:space="0" w:color="000000"/>
              <w:bottom w:val="single" w:sz="4" w:space="0" w:color="000000"/>
              <w:right w:val="single" w:sz="4" w:space="0" w:color="000000"/>
            </w:tcBorders>
          </w:tcPr>
          <w:p>
            <w:pPr>
              <w:pStyle w:val="Normal"/>
              <w:spacing w:before="60" w:after="0"/>
              <w:jc w:val="center"/>
              <w:rPr>
                <w:sz w:val="24"/>
                <w:szCs w:val="24"/>
              </w:rPr>
            </w:pPr>
            <w:r>
              <w:rPr>
                <w:sz w:val="24"/>
                <w:szCs w:val="24"/>
              </w:rPr>
              <w:t>399,2</w:t>
            </w:r>
          </w:p>
        </w:tc>
        <w:tc>
          <w:tcPr>
            <w:tcW w:w="792" w:type="dxa"/>
            <w:tcBorders>
              <w:top w:val="single" w:sz="4" w:space="0" w:color="000000"/>
              <w:left w:val="single" w:sz="4" w:space="0" w:color="000000"/>
              <w:bottom w:val="single" w:sz="4" w:space="0" w:color="000000"/>
              <w:right w:val="single" w:sz="4" w:space="0" w:color="000000"/>
            </w:tcBorders>
          </w:tcPr>
          <w:p>
            <w:pPr>
              <w:pStyle w:val="Normal"/>
              <w:spacing w:before="60" w:after="0"/>
              <w:jc w:val="center"/>
              <w:rPr>
                <w:sz w:val="24"/>
                <w:szCs w:val="24"/>
                <w:lang w:val="en-US"/>
              </w:rPr>
            </w:pPr>
            <w:r>
              <w:rPr>
                <w:sz w:val="24"/>
                <w:szCs w:val="24"/>
                <w:lang w:val="en-US"/>
              </w:rPr>
              <w:t>444,1</w:t>
            </w:r>
          </w:p>
        </w:tc>
      </w:tr>
      <w:tr>
        <w:trPr/>
        <w:tc>
          <w:tcPr>
            <w:tcW w:w="4979" w:type="dxa"/>
            <w:tcBorders>
              <w:top w:val="single" w:sz="4" w:space="0" w:color="000000"/>
              <w:left w:val="single" w:sz="4" w:space="0" w:color="000000"/>
              <w:bottom w:val="single" w:sz="4" w:space="0" w:color="000000"/>
              <w:right w:val="single" w:sz="4" w:space="0" w:color="000000"/>
            </w:tcBorders>
          </w:tcPr>
          <w:p>
            <w:pPr>
              <w:pStyle w:val="Style29"/>
              <w:spacing w:before="40" w:after="40"/>
              <w:rPr>
                <w:rFonts w:ascii="Times New Roman" w:hAnsi="Times New Roman" w:cs="Times New Roman"/>
                <w:sz w:val="24"/>
                <w:szCs w:val="24"/>
              </w:rPr>
            </w:pPr>
            <w:r>
              <w:rPr>
                <w:rFonts w:cs="Times New Roman" w:ascii="Times New Roman" w:hAnsi="Times New Roman"/>
                <w:sz w:val="24"/>
                <w:szCs w:val="24"/>
              </w:rPr>
              <w:t>Топкинский муниципальный округ</w:t>
            </w:r>
          </w:p>
        </w:tc>
        <w:tc>
          <w:tcPr>
            <w:tcW w:w="1234" w:type="dxa"/>
            <w:tcBorders>
              <w:top w:val="single" w:sz="4" w:space="0" w:color="000000"/>
              <w:left w:val="single" w:sz="4" w:space="0" w:color="000000"/>
              <w:bottom w:val="single" w:sz="4" w:space="0" w:color="000000"/>
              <w:right w:val="single" w:sz="4" w:space="0" w:color="000000"/>
            </w:tcBorders>
          </w:tcPr>
          <w:p>
            <w:pPr>
              <w:pStyle w:val="Normal"/>
              <w:spacing w:before="60" w:after="0"/>
              <w:jc w:val="center"/>
              <w:rPr>
                <w:sz w:val="24"/>
                <w:szCs w:val="24"/>
              </w:rPr>
            </w:pPr>
            <w:r>
              <w:rPr>
                <w:sz w:val="24"/>
                <w:szCs w:val="24"/>
              </w:rPr>
              <w:t>314,8</w:t>
            </w:r>
          </w:p>
        </w:tc>
        <w:tc>
          <w:tcPr>
            <w:tcW w:w="796" w:type="dxa"/>
            <w:tcBorders>
              <w:top w:val="single" w:sz="4" w:space="0" w:color="000000"/>
              <w:left w:val="single" w:sz="4" w:space="0" w:color="000000"/>
              <w:bottom w:val="single" w:sz="4" w:space="0" w:color="000000"/>
              <w:right w:val="single" w:sz="4" w:space="0" w:color="000000"/>
            </w:tcBorders>
          </w:tcPr>
          <w:p>
            <w:pPr>
              <w:pStyle w:val="Normal"/>
              <w:spacing w:before="60" w:after="0"/>
              <w:jc w:val="center"/>
              <w:rPr>
                <w:sz w:val="24"/>
                <w:szCs w:val="24"/>
              </w:rPr>
            </w:pPr>
            <w:r>
              <w:rPr>
                <w:sz w:val="24"/>
                <w:szCs w:val="24"/>
              </w:rPr>
              <w:t>408,3</w:t>
            </w:r>
          </w:p>
        </w:tc>
        <w:tc>
          <w:tcPr>
            <w:tcW w:w="792" w:type="dxa"/>
            <w:tcBorders>
              <w:top w:val="single" w:sz="4" w:space="0" w:color="000000"/>
              <w:left w:val="single" w:sz="4" w:space="0" w:color="000000"/>
              <w:bottom w:val="single" w:sz="4" w:space="0" w:color="000000"/>
              <w:right w:val="single" w:sz="4" w:space="0" w:color="000000"/>
            </w:tcBorders>
          </w:tcPr>
          <w:p>
            <w:pPr>
              <w:pStyle w:val="Normal"/>
              <w:spacing w:before="60" w:after="0"/>
              <w:jc w:val="center"/>
              <w:rPr>
                <w:sz w:val="24"/>
                <w:szCs w:val="24"/>
              </w:rPr>
            </w:pPr>
            <w:r>
              <w:rPr>
                <w:sz w:val="24"/>
                <w:szCs w:val="24"/>
              </w:rPr>
              <w:t>459,7</w:t>
            </w:r>
          </w:p>
        </w:tc>
      </w:tr>
    </w:tbl>
    <w:p>
      <w:pPr>
        <w:pStyle w:val="Normal"/>
        <w:ind w:firstLine="709"/>
        <w:jc w:val="both"/>
        <w:rPr>
          <w:color w:val="000000"/>
          <w:sz w:val="28"/>
          <w:szCs w:val="28"/>
        </w:rPr>
      </w:pPr>
      <w:r>
        <w:rPr>
          <w:color w:val="000000"/>
          <w:sz w:val="28"/>
          <w:szCs w:val="28"/>
        </w:rPr>
      </w:r>
    </w:p>
    <w:p>
      <w:pPr>
        <w:pStyle w:val="Normal"/>
        <w:ind w:firstLine="709"/>
        <w:jc w:val="both"/>
        <w:rPr/>
      </w:pPr>
      <w:r>
        <w:rPr>
          <w:bCs/>
          <w:sz w:val="28"/>
          <w:szCs w:val="28"/>
          <w:lang w:eastAsia="ru-RU"/>
        </w:rPr>
        <w:t xml:space="preserve">Первичная заболеваемость </w:t>
      </w:r>
      <w:r>
        <w:rPr>
          <w:color w:val="000000"/>
          <w:sz w:val="28"/>
          <w:szCs w:val="28"/>
        </w:rPr>
        <w:t>злокачественными новообразованиями</w:t>
      </w:r>
      <w:r>
        <w:rPr>
          <w:bCs/>
          <w:sz w:val="28"/>
          <w:szCs w:val="28"/>
          <w:lang w:eastAsia="ru-RU"/>
        </w:rPr>
        <w:t xml:space="preserve"> за период с 2020 по 2022 год в Топкинском муниципальном округе увеличилась на 46,0 %</w:t>
      </w:r>
    </w:p>
    <w:p>
      <w:pPr>
        <w:pStyle w:val="Normal"/>
        <w:ind w:firstLine="709"/>
        <w:jc w:val="both"/>
        <w:rPr>
          <w:color w:val="000000"/>
          <w:sz w:val="28"/>
          <w:szCs w:val="28"/>
        </w:rPr>
      </w:pPr>
      <w:r>
        <w:rPr>
          <w:color w:val="000000"/>
          <w:sz w:val="28"/>
          <w:szCs w:val="28"/>
        </w:rPr>
      </w:r>
    </w:p>
    <w:p>
      <w:pPr>
        <w:pStyle w:val="Style30"/>
        <w:spacing w:before="100" w:after="0"/>
        <w:jc w:val="center"/>
        <w:rPr>
          <w:bCs/>
          <w:color w:val="000000"/>
          <w:sz w:val="28"/>
          <w:szCs w:val="28"/>
        </w:rPr>
      </w:pPr>
      <w:r>
        <w:rPr>
          <w:bCs/>
          <w:color w:val="000000"/>
          <w:sz w:val="28"/>
          <w:szCs w:val="28"/>
        </w:rPr>
      </w:r>
    </w:p>
    <w:p>
      <w:pPr>
        <w:pStyle w:val="Style30"/>
        <w:spacing w:before="100" w:after="0"/>
        <w:jc w:val="center"/>
        <w:rPr>
          <w:bCs/>
          <w:sz w:val="28"/>
          <w:szCs w:val="28"/>
        </w:rPr>
      </w:pPr>
      <w:r>
        <w:rPr>
          <w:bCs/>
          <w:sz w:val="28"/>
          <w:szCs w:val="28"/>
        </w:rPr>
      </w:r>
    </w:p>
    <w:p>
      <w:pPr>
        <w:pStyle w:val="Style30"/>
        <w:spacing w:before="100" w:after="0"/>
        <w:jc w:val="center"/>
        <w:rPr>
          <w:bCs/>
          <w:sz w:val="28"/>
          <w:szCs w:val="28"/>
        </w:rPr>
      </w:pPr>
      <w:r>
        <w:rPr>
          <w:bCs/>
          <w:sz w:val="28"/>
          <w:szCs w:val="28"/>
        </w:rPr>
        <w:t>5.5   Инфекционная заболеваемость</w:t>
      </w:r>
    </w:p>
    <w:p>
      <w:pPr>
        <w:pStyle w:val="Style30"/>
        <w:spacing w:before="100" w:after="0"/>
        <w:ind w:firstLine="709"/>
        <w:jc w:val="both"/>
        <w:rPr/>
      </w:pPr>
      <w:r>
        <w:rPr>
          <w:bCs/>
          <w:sz w:val="28"/>
          <w:szCs w:val="28"/>
        </w:rPr>
        <w:t xml:space="preserve">Огромное влияние на продолжительность жизни населения играют инфекционные заболевания. </w:t>
      </w:r>
      <w:r>
        <w:rPr>
          <w:sz w:val="28"/>
          <w:szCs w:val="28"/>
          <w:shd w:fill="FFFFFF" w:val="clear"/>
        </w:rPr>
        <w:t>Инфекционные болезни являются триггерами (пусковым механизмом) развития многих онкологических, сердечно-сосудистых, соматических, эндокринных и других болезней. Социально значимые заболевания, такие как туберкулез и ВИЧ-инфекция относятся к числу наиболее актуальных проблем современного здравоохранения и основных угроз для здоровья населения.</w:t>
      </w:r>
    </w:p>
    <w:p>
      <w:pPr>
        <w:pStyle w:val="Style30"/>
        <w:spacing w:before="0" w:after="0"/>
        <w:ind w:firstLine="709"/>
        <w:jc w:val="both"/>
        <w:rPr/>
      </w:pPr>
      <w:r>
        <w:rPr>
          <w:sz w:val="28"/>
          <w:szCs w:val="28"/>
        </w:rPr>
        <w:t>Эпидемиологическая ситуация по туберкулезу в Кемеровской области – Кузбассе продолжает оставаться напряженной. За период с 2020 по 2022 году показатель</w:t>
      </w:r>
      <w:r>
        <w:rPr>
          <w:rFonts w:eastAsia="Calibri"/>
          <w:sz w:val="28"/>
          <w:szCs w:val="28"/>
        </w:rPr>
        <w:t xml:space="preserve"> заболеваемости</w:t>
      </w:r>
      <w:r>
        <w:rPr>
          <w:sz w:val="28"/>
          <w:szCs w:val="28"/>
        </w:rPr>
        <w:t xml:space="preserve"> активным туберкулезом в Топкинском муниципальном округе снизился на 26,1%.</w:t>
      </w:r>
    </w:p>
    <w:p>
      <w:pPr>
        <w:pStyle w:val="Style30"/>
        <w:spacing w:before="0" w:after="0"/>
        <w:ind w:firstLine="709"/>
        <w:jc w:val="both"/>
        <w:rPr>
          <w:sz w:val="28"/>
          <w:szCs w:val="28"/>
        </w:rPr>
      </w:pPr>
      <w:r>
        <w:rPr>
          <w:sz w:val="28"/>
          <w:szCs w:val="28"/>
        </w:rPr>
      </w:r>
    </w:p>
    <w:p>
      <w:pPr>
        <w:pStyle w:val="Style30"/>
        <w:spacing w:before="100" w:after="0"/>
        <w:ind w:firstLine="709"/>
        <w:jc w:val="both"/>
        <w:rPr/>
      </w:pPr>
      <w:r>
        <w:rPr>
          <w:rFonts w:eastAsia="Calibri"/>
          <w:bCs/>
          <w:i/>
          <w:iCs/>
          <w:sz w:val="28"/>
          <w:szCs w:val="28"/>
          <w:shd w:fill="FFFFFF" w:val="clear"/>
        </w:rPr>
        <w:t>Таблица 15. Заболеваемость</w:t>
      </w:r>
      <w:r>
        <w:rPr>
          <w:bCs/>
          <w:i/>
          <w:iCs/>
          <w:sz w:val="28"/>
          <w:szCs w:val="28"/>
        </w:rPr>
        <w:t xml:space="preserve"> активным туберкулезом в 2020-2022 гг. (на 100 тыс. населения)</w:t>
      </w:r>
    </w:p>
    <w:tbl>
      <w:tblPr>
        <w:tblW w:w="9287" w:type="dxa"/>
        <w:jc w:val="center"/>
        <w:tblInd w:w="0" w:type="dxa"/>
        <w:tblLayout w:type="fixed"/>
        <w:tblCellMar>
          <w:top w:w="0" w:type="dxa"/>
          <w:left w:w="108" w:type="dxa"/>
          <w:bottom w:w="0" w:type="dxa"/>
          <w:right w:w="108" w:type="dxa"/>
        </w:tblCellMar>
      </w:tblPr>
      <w:tblGrid>
        <w:gridCol w:w="2515"/>
        <w:gridCol w:w="1680"/>
        <w:gridCol w:w="1683"/>
        <w:gridCol w:w="1678"/>
        <w:gridCol w:w="1731"/>
      </w:tblGrid>
      <w:tr>
        <w:trPr/>
        <w:tc>
          <w:tcPr>
            <w:tcW w:w="2515" w:type="dxa"/>
            <w:tcBorders>
              <w:top w:val="single" w:sz="4" w:space="0" w:color="000000"/>
              <w:left w:val="single" w:sz="4" w:space="0" w:color="000000"/>
              <w:bottom w:val="single" w:sz="4" w:space="0" w:color="000000"/>
              <w:right w:val="single" w:sz="4" w:space="0" w:color="000000"/>
            </w:tcBorders>
          </w:tcPr>
          <w:p>
            <w:pPr>
              <w:pStyle w:val="Normal"/>
              <w:snapToGrid w:val="false"/>
              <w:spacing w:before="0" w:after="0"/>
              <w:contextualSpacing/>
              <w:rPr>
                <w:rFonts w:eastAsia="Calibri"/>
                <w:sz w:val="24"/>
                <w:szCs w:val="24"/>
                <w:shd w:fill="FF0000" w:val="clear"/>
              </w:rPr>
            </w:pPr>
            <w:r>
              <w:rPr>
                <w:rFonts w:eastAsia="Calibri"/>
                <w:sz w:val="24"/>
                <w:szCs w:val="24"/>
                <w:shd w:fill="FF0000" w:val="clear"/>
              </w:rPr>
            </w:r>
          </w:p>
        </w:tc>
        <w:tc>
          <w:tcPr>
            <w:tcW w:w="1680"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rFonts w:eastAsia="Calibri"/>
                <w:sz w:val="24"/>
                <w:szCs w:val="24"/>
                <w:shd w:fill="FFFFFF" w:val="clear"/>
              </w:rPr>
            </w:pPr>
            <w:r>
              <w:rPr>
                <w:rFonts w:eastAsia="Calibri"/>
                <w:sz w:val="24"/>
                <w:szCs w:val="24"/>
                <w:shd w:fill="FFFFFF" w:val="clear"/>
              </w:rPr>
              <w:t>2020</w:t>
            </w:r>
          </w:p>
        </w:tc>
        <w:tc>
          <w:tcPr>
            <w:tcW w:w="1683"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rFonts w:eastAsia="Calibri"/>
                <w:sz w:val="24"/>
                <w:szCs w:val="24"/>
                <w:shd w:fill="FFFFFF" w:val="clear"/>
              </w:rPr>
            </w:pPr>
            <w:r>
              <w:rPr>
                <w:rFonts w:eastAsia="Calibri"/>
                <w:sz w:val="24"/>
                <w:szCs w:val="24"/>
                <w:shd w:fill="FFFFFF" w:val="clear"/>
              </w:rPr>
              <w:t>2021</w:t>
            </w:r>
          </w:p>
        </w:tc>
        <w:tc>
          <w:tcPr>
            <w:tcW w:w="1678"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rFonts w:eastAsia="Calibri"/>
                <w:sz w:val="24"/>
                <w:szCs w:val="24"/>
                <w:shd w:fill="FFFFFF" w:val="clear"/>
              </w:rPr>
            </w:pPr>
            <w:r>
              <w:rPr>
                <w:rFonts w:eastAsia="Calibri"/>
                <w:sz w:val="24"/>
                <w:szCs w:val="24"/>
                <w:shd w:fill="FFFFFF" w:val="clear"/>
              </w:rPr>
              <w:t>2022</w:t>
            </w:r>
          </w:p>
        </w:tc>
        <w:tc>
          <w:tcPr>
            <w:tcW w:w="1731"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rFonts w:eastAsia="Calibri"/>
                <w:sz w:val="24"/>
                <w:szCs w:val="24"/>
                <w:shd w:fill="FFFFFF" w:val="clear"/>
              </w:rPr>
            </w:pPr>
            <w:r>
              <w:rPr>
                <w:rFonts w:eastAsia="Calibri"/>
                <w:sz w:val="24"/>
                <w:szCs w:val="24"/>
                <w:shd w:fill="FFFFFF" w:val="clear"/>
              </w:rPr>
              <w:t>Динамика (%)</w:t>
            </w:r>
          </w:p>
        </w:tc>
      </w:tr>
      <w:tr>
        <w:trPr/>
        <w:tc>
          <w:tcPr>
            <w:tcW w:w="2515"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rPr>
                <w:rFonts w:eastAsia="Calibri"/>
                <w:sz w:val="24"/>
                <w:szCs w:val="24"/>
                <w:shd w:fill="FFFFFF" w:val="clear"/>
              </w:rPr>
            </w:pPr>
            <w:r>
              <w:rPr>
                <w:rFonts w:eastAsia="Calibri"/>
                <w:sz w:val="24"/>
                <w:szCs w:val="24"/>
                <w:shd w:fill="FFFFFF" w:val="clear"/>
              </w:rPr>
              <w:t>Кемеровская область</w:t>
            </w:r>
          </w:p>
        </w:tc>
        <w:tc>
          <w:tcPr>
            <w:tcW w:w="1680"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rFonts w:eastAsia="Calibri"/>
                <w:sz w:val="24"/>
                <w:szCs w:val="24"/>
                <w:shd w:fill="FFFFFF" w:val="clear"/>
              </w:rPr>
            </w:pPr>
            <w:r>
              <w:rPr>
                <w:rFonts w:eastAsia="Calibri"/>
                <w:sz w:val="24"/>
                <w:szCs w:val="24"/>
                <w:shd w:fill="FFFFFF" w:val="clear"/>
              </w:rPr>
              <w:t>72,50</w:t>
            </w:r>
          </w:p>
        </w:tc>
        <w:tc>
          <w:tcPr>
            <w:tcW w:w="1683"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rFonts w:eastAsia="Calibri"/>
                <w:sz w:val="24"/>
                <w:szCs w:val="24"/>
              </w:rPr>
            </w:pPr>
            <w:r>
              <w:rPr>
                <w:rFonts w:eastAsia="Calibri"/>
                <w:sz w:val="24"/>
                <w:szCs w:val="24"/>
              </w:rPr>
              <w:t>70,33</w:t>
            </w:r>
          </w:p>
        </w:tc>
        <w:tc>
          <w:tcPr>
            <w:tcW w:w="1678"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rFonts w:eastAsia="Calibri"/>
                <w:sz w:val="24"/>
                <w:szCs w:val="24"/>
                <w:shd w:fill="FFFFFF" w:val="clear"/>
              </w:rPr>
            </w:pPr>
            <w:r>
              <w:rPr>
                <w:rFonts w:eastAsia="Calibri"/>
                <w:sz w:val="24"/>
                <w:szCs w:val="24"/>
                <w:shd w:fill="FFFFFF" w:val="clear"/>
              </w:rPr>
              <w:t>76,37</w:t>
            </w:r>
          </w:p>
        </w:tc>
        <w:tc>
          <w:tcPr>
            <w:tcW w:w="1731"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rFonts w:eastAsia="Calibri"/>
                <w:sz w:val="24"/>
                <w:szCs w:val="24"/>
                <w:shd w:fill="FFFFFF" w:val="clear"/>
              </w:rPr>
            </w:pPr>
            <w:r>
              <w:rPr>
                <w:rFonts w:eastAsia="Calibri"/>
                <w:sz w:val="24"/>
                <w:szCs w:val="24"/>
                <w:shd w:fill="FFFFFF" w:val="clear"/>
              </w:rPr>
              <w:t>5,3</w:t>
            </w:r>
          </w:p>
        </w:tc>
      </w:tr>
      <w:tr>
        <w:trPr/>
        <w:tc>
          <w:tcPr>
            <w:tcW w:w="2515"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rPr>
                <w:rFonts w:eastAsia="Calibri"/>
                <w:sz w:val="24"/>
                <w:szCs w:val="24"/>
                <w:shd w:fill="FFFFFF" w:val="clear"/>
              </w:rPr>
            </w:pPr>
            <w:r>
              <w:rPr>
                <w:rFonts w:eastAsia="Calibri"/>
                <w:sz w:val="24"/>
                <w:szCs w:val="24"/>
                <w:shd w:fill="FFFFFF" w:val="clear"/>
              </w:rPr>
              <w:t>Топкинский муниципальный округ</w:t>
            </w:r>
          </w:p>
        </w:tc>
        <w:tc>
          <w:tcPr>
            <w:tcW w:w="1680"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sz w:val="24"/>
                <w:szCs w:val="24"/>
              </w:rPr>
            </w:pPr>
            <w:r>
              <w:rPr>
                <w:sz w:val="24"/>
                <w:szCs w:val="24"/>
              </w:rPr>
              <w:t>102,59</w:t>
            </w:r>
          </w:p>
        </w:tc>
        <w:tc>
          <w:tcPr>
            <w:tcW w:w="1683"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pPr>
            <w:r>
              <w:rPr>
                <w:sz w:val="24"/>
                <w:szCs w:val="24"/>
              </w:rPr>
              <w:t>63,36</w:t>
            </w:r>
          </w:p>
        </w:tc>
        <w:tc>
          <w:tcPr>
            <w:tcW w:w="1678"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rFonts w:eastAsia="Calibri"/>
                <w:sz w:val="24"/>
                <w:szCs w:val="24"/>
                <w:shd w:fill="FFFFFF" w:val="clear"/>
              </w:rPr>
            </w:pPr>
            <w:r>
              <w:rPr>
                <w:rFonts w:eastAsia="Calibri"/>
                <w:sz w:val="24"/>
                <w:szCs w:val="24"/>
                <w:shd w:fill="FFFFFF" w:val="clear"/>
              </w:rPr>
              <w:t>75,83</w:t>
            </w:r>
          </w:p>
        </w:tc>
        <w:tc>
          <w:tcPr>
            <w:tcW w:w="1731"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sz w:val="24"/>
                <w:szCs w:val="24"/>
              </w:rPr>
            </w:pPr>
            <w:r>
              <w:rPr>
                <w:sz w:val="24"/>
                <w:szCs w:val="24"/>
              </w:rPr>
              <w:t>-26,1</w:t>
            </w:r>
          </w:p>
        </w:tc>
      </w:tr>
    </w:tbl>
    <w:p>
      <w:pPr>
        <w:pStyle w:val="Style30"/>
        <w:spacing w:before="0" w:after="0"/>
        <w:ind w:firstLine="709"/>
        <w:jc w:val="both"/>
        <w:rPr/>
      </w:pPr>
      <w:r>
        <w:rPr/>
      </w:r>
    </w:p>
    <w:p>
      <w:pPr>
        <w:pStyle w:val="Normal"/>
        <w:ind w:firstLine="567"/>
        <w:jc w:val="both"/>
        <w:rPr>
          <w:sz w:val="28"/>
          <w:szCs w:val="28"/>
        </w:rPr>
      </w:pPr>
      <w:r>
        <w:rPr>
          <w:sz w:val="28"/>
          <w:szCs w:val="28"/>
        </w:rPr>
        <w:t xml:space="preserve">Заболеваемость туберкулезом по району регистрируется на стабильно высоком уровне. Наблюдается некоторое снижение заболеваемости по сравнению с 2020 годом. Отмечается снижение заболеваемости среди сельского населения: 2020 год — 23 случая, 2021 год — 8 случаев, 2022 год — 5 случаев. </w:t>
      </w:r>
    </w:p>
    <w:p>
      <w:pPr>
        <w:pStyle w:val="Normal"/>
        <w:ind w:firstLine="567"/>
        <w:jc w:val="both"/>
        <w:rPr>
          <w:sz w:val="28"/>
          <w:szCs w:val="28"/>
        </w:rPr>
      </w:pPr>
      <w:r>
        <w:rPr>
          <w:sz w:val="28"/>
          <w:szCs w:val="28"/>
        </w:rPr>
      </w:r>
    </w:p>
    <w:p>
      <w:pPr>
        <w:pStyle w:val="Normal"/>
        <w:spacing w:before="0" w:after="0"/>
        <w:ind w:firstLine="709"/>
        <w:contextualSpacing/>
        <w:jc w:val="both"/>
        <w:rPr>
          <w:sz w:val="28"/>
          <w:szCs w:val="28"/>
        </w:rPr>
      </w:pPr>
      <w:r>
        <w:rPr>
          <w:sz w:val="28"/>
          <w:szCs w:val="28"/>
        </w:rPr>
        <w:t>Эпидемическая ситуация по ВИЧ-инфекции в Кемеровской области – Кузбассе продолжает оставаться напряженной. По уровню регистрации вновь выявленных случаев ВИЧ-инфекции Кемеровская область – Кузбасс в 2022 г. в 1,9 раза превышает показатель заболеваемости по Российской Федерации (41,95 на 100 тыс. населения) и на 13,5 % превышает показатель заболеваемости по Сибирскому федеральному округу (70,67 на 100 тыс. населения).</w:t>
      </w:r>
    </w:p>
    <w:p>
      <w:pPr>
        <w:pStyle w:val="Style30"/>
        <w:spacing w:before="100" w:after="0"/>
        <w:ind w:firstLine="709"/>
        <w:jc w:val="both"/>
        <w:rPr>
          <w:rFonts w:eastAsia="Calibri"/>
          <w:i/>
          <w:i/>
          <w:iCs/>
          <w:sz w:val="28"/>
          <w:szCs w:val="28"/>
          <w:shd w:fill="FFFFFF" w:val="clear"/>
        </w:rPr>
      </w:pPr>
      <w:r>
        <w:rPr>
          <w:rFonts w:eastAsia="Calibri"/>
          <w:i/>
          <w:iCs/>
          <w:sz w:val="28"/>
          <w:szCs w:val="28"/>
          <w:shd w:fill="FFFFFF" w:val="clear"/>
        </w:rPr>
        <w:t>Таблица 16. Заболеваемость ВИЧ – инфекцией в 2020-2022 гг. (на 100 тыс. населения)</w:t>
      </w:r>
    </w:p>
    <w:tbl>
      <w:tblPr>
        <w:tblW w:w="9287" w:type="dxa"/>
        <w:jc w:val="center"/>
        <w:tblInd w:w="0" w:type="dxa"/>
        <w:tblLayout w:type="fixed"/>
        <w:tblCellMar>
          <w:top w:w="0" w:type="dxa"/>
          <w:left w:w="108" w:type="dxa"/>
          <w:bottom w:w="0" w:type="dxa"/>
          <w:right w:w="108" w:type="dxa"/>
        </w:tblCellMar>
      </w:tblPr>
      <w:tblGrid>
        <w:gridCol w:w="2513"/>
        <w:gridCol w:w="1679"/>
        <w:gridCol w:w="1683"/>
        <w:gridCol w:w="1683"/>
        <w:gridCol w:w="1729"/>
      </w:tblGrid>
      <w:tr>
        <w:trPr/>
        <w:tc>
          <w:tcPr>
            <w:tcW w:w="2513" w:type="dxa"/>
            <w:tcBorders>
              <w:top w:val="single" w:sz="4" w:space="0" w:color="000000"/>
              <w:left w:val="single" w:sz="4" w:space="0" w:color="000000"/>
              <w:bottom w:val="single" w:sz="4" w:space="0" w:color="000000"/>
              <w:right w:val="single" w:sz="4" w:space="0" w:color="000000"/>
            </w:tcBorders>
            <w:shd w:fill="FFFFFF" w:val="clear"/>
          </w:tcPr>
          <w:p>
            <w:pPr>
              <w:pStyle w:val="Normal"/>
              <w:snapToGrid w:val="false"/>
              <w:spacing w:before="0" w:after="0"/>
              <w:contextualSpacing/>
              <w:rPr>
                <w:rFonts w:eastAsia="Calibri"/>
                <w:sz w:val="24"/>
                <w:szCs w:val="24"/>
                <w:shd w:fill="FF0000" w:val="clear"/>
              </w:rPr>
            </w:pPr>
            <w:r>
              <w:rPr>
                <w:rFonts w:eastAsia="Calibri"/>
                <w:sz w:val="24"/>
                <w:szCs w:val="24"/>
                <w:shd w:fill="FF0000" w:val="clear"/>
              </w:rPr>
            </w:r>
          </w:p>
        </w:tc>
        <w:tc>
          <w:tcPr>
            <w:tcW w:w="1679"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2020</w:t>
            </w:r>
          </w:p>
        </w:tc>
        <w:tc>
          <w:tcPr>
            <w:tcW w:w="1683"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2021</w:t>
            </w:r>
          </w:p>
        </w:tc>
        <w:tc>
          <w:tcPr>
            <w:tcW w:w="1683"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2022</w:t>
            </w:r>
          </w:p>
        </w:tc>
        <w:tc>
          <w:tcPr>
            <w:tcW w:w="1729"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Динамика (%)</w:t>
            </w:r>
          </w:p>
        </w:tc>
      </w:tr>
      <w:tr>
        <w:trPr/>
        <w:tc>
          <w:tcPr>
            <w:tcW w:w="2513"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rPr>
                <w:rFonts w:eastAsia="Calibri"/>
                <w:sz w:val="24"/>
                <w:szCs w:val="24"/>
                <w:shd w:fill="FFFFFF" w:val="clear"/>
              </w:rPr>
            </w:pPr>
            <w:r>
              <w:rPr>
                <w:rFonts w:eastAsia="Calibri"/>
                <w:sz w:val="24"/>
                <w:szCs w:val="24"/>
                <w:shd w:fill="FFFFFF" w:val="clear"/>
              </w:rPr>
              <w:t>Кемеровская область</w:t>
            </w:r>
          </w:p>
        </w:tc>
        <w:tc>
          <w:tcPr>
            <w:tcW w:w="1679"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sz w:val="24"/>
                <w:szCs w:val="24"/>
              </w:rPr>
            </w:pPr>
            <w:r>
              <w:rPr>
                <w:sz w:val="24"/>
                <w:szCs w:val="24"/>
              </w:rPr>
              <w:t>130,1</w:t>
            </w:r>
          </w:p>
        </w:tc>
        <w:tc>
          <w:tcPr>
            <w:tcW w:w="1683"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sz w:val="24"/>
                <w:szCs w:val="24"/>
              </w:rPr>
            </w:pPr>
            <w:r>
              <w:rPr>
                <w:sz w:val="24"/>
                <w:szCs w:val="24"/>
              </w:rPr>
              <w:t>79,86</w:t>
            </w:r>
          </w:p>
        </w:tc>
        <w:tc>
          <w:tcPr>
            <w:tcW w:w="1683"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80,25</w:t>
            </w:r>
          </w:p>
        </w:tc>
        <w:tc>
          <w:tcPr>
            <w:tcW w:w="1729"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-38,3</w:t>
            </w:r>
          </w:p>
        </w:tc>
      </w:tr>
      <w:tr>
        <w:trPr/>
        <w:tc>
          <w:tcPr>
            <w:tcW w:w="2513"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rPr>
                <w:rFonts w:eastAsia="Calibri"/>
                <w:sz w:val="24"/>
                <w:szCs w:val="24"/>
                <w:shd w:fill="FFFFFF" w:val="clear"/>
              </w:rPr>
            </w:pPr>
            <w:r>
              <w:rPr>
                <w:rFonts w:eastAsia="Calibri"/>
                <w:sz w:val="24"/>
                <w:szCs w:val="24"/>
                <w:shd w:fill="FFFFFF" w:val="clear"/>
              </w:rPr>
              <w:t>Топкинский муниципальный округ</w:t>
            </w:r>
          </w:p>
        </w:tc>
        <w:tc>
          <w:tcPr>
            <w:tcW w:w="1679"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sz w:val="24"/>
                <w:szCs w:val="24"/>
              </w:rPr>
            </w:pPr>
            <w:r>
              <w:rPr>
                <w:sz w:val="24"/>
                <w:szCs w:val="24"/>
              </w:rPr>
              <w:t>179,5</w:t>
            </w:r>
          </w:p>
        </w:tc>
        <w:tc>
          <w:tcPr>
            <w:tcW w:w="1683" w:type="dxa"/>
            <w:tcBorders>
              <w:top w:val="single" w:sz="4" w:space="0" w:color="000000"/>
              <w:left w:val="single" w:sz="4" w:space="0" w:color="000000"/>
              <w:bottom w:val="single" w:sz="4" w:space="0" w:color="000000"/>
              <w:right w:val="single" w:sz="4" w:space="0" w:color="000000"/>
            </w:tcBorders>
          </w:tcPr>
          <w:p>
            <w:pPr>
              <w:pStyle w:val="Normal"/>
              <w:spacing w:before="0" w:after="0"/>
              <w:contextualSpacing/>
              <w:jc w:val="center"/>
              <w:rPr>
                <w:sz w:val="24"/>
                <w:szCs w:val="24"/>
              </w:rPr>
            </w:pPr>
            <w:r>
              <w:rPr>
                <w:sz w:val="24"/>
                <w:szCs w:val="24"/>
              </w:rPr>
              <w:t>н/д</w:t>
            </w:r>
          </w:p>
        </w:tc>
        <w:tc>
          <w:tcPr>
            <w:tcW w:w="1683"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sz w:val="24"/>
                <w:szCs w:val="24"/>
              </w:rPr>
            </w:pPr>
            <w:r>
              <w:rPr>
                <w:sz w:val="24"/>
                <w:szCs w:val="24"/>
              </w:rPr>
              <w:t>101,9</w:t>
            </w:r>
          </w:p>
        </w:tc>
        <w:tc>
          <w:tcPr>
            <w:tcW w:w="1729"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sz w:val="24"/>
                <w:szCs w:val="24"/>
              </w:rPr>
            </w:pPr>
            <w:r>
              <w:rPr>
                <w:sz w:val="24"/>
                <w:szCs w:val="24"/>
              </w:rPr>
              <w:t>-43,2</w:t>
            </w:r>
          </w:p>
        </w:tc>
      </w:tr>
    </w:tbl>
    <w:p>
      <w:pPr>
        <w:pStyle w:val="Normal"/>
        <w:rPr>
          <w:rFonts w:eastAsia="Calibri"/>
        </w:rPr>
      </w:pPr>
      <w:r>
        <w:rPr>
          <w:rFonts w:eastAsia="Calibri"/>
        </w:rPr>
      </w:r>
    </w:p>
    <w:p>
      <w:pPr>
        <w:pStyle w:val="Normal"/>
        <w:ind w:firstLine="567"/>
        <w:jc w:val="both"/>
        <w:rPr/>
      </w:pPr>
      <w:r>
        <w:rPr>
          <w:sz w:val="28"/>
          <w:szCs w:val="28"/>
        </w:rPr>
        <w:t>За период с 2020 по 2022 году показатель</w:t>
      </w:r>
      <w:r>
        <w:rPr>
          <w:rFonts w:eastAsia="Calibri"/>
          <w:sz w:val="28"/>
          <w:szCs w:val="28"/>
        </w:rPr>
        <w:t xml:space="preserve"> заболеваемости</w:t>
      </w:r>
      <w:r>
        <w:rPr>
          <w:sz w:val="28"/>
          <w:szCs w:val="28"/>
        </w:rPr>
        <w:t xml:space="preserve"> ВИЧ-инфекцией в Топкинском муниципальном округе снизился на 43,2%.</w:t>
      </w:r>
    </w:p>
    <w:p>
      <w:pPr>
        <w:pStyle w:val="Style30"/>
        <w:spacing w:before="100" w:after="0"/>
        <w:jc w:val="center"/>
        <w:rPr>
          <w:bCs/>
          <w:sz w:val="28"/>
          <w:szCs w:val="28"/>
        </w:rPr>
      </w:pPr>
      <w:r>
        <w:rPr>
          <w:bCs/>
          <w:sz w:val="28"/>
          <w:szCs w:val="28"/>
        </w:rPr>
        <w:t>5.6   Алкоголизм и наркомания</w:t>
      </w:r>
    </w:p>
    <w:p>
      <w:pPr>
        <w:pStyle w:val="Style30"/>
        <w:spacing w:before="100" w:after="0"/>
        <w:jc w:val="center"/>
        <w:rPr>
          <w:rFonts w:eastAsia="Calibri"/>
          <w:bCs/>
          <w:sz w:val="28"/>
          <w:szCs w:val="28"/>
        </w:rPr>
      </w:pPr>
      <w:r>
        <w:rPr>
          <w:rFonts w:eastAsia="Calibri"/>
          <w:bCs/>
          <w:sz w:val="28"/>
          <w:szCs w:val="28"/>
        </w:rPr>
      </w:r>
    </w:p>
    <w:p>
      <w:pPr>
        <w:pStyle w:val="Normal"/>
        <w:ind w:firstLine="567"/>
        <w:jc w:val="both"/>
        <w:rPr>
          <w:rFonts w:eastAsia="Calibri"/>
          <w:sz w:val="28"/>
          <w:szCs w:val="28"/>
        </w:rPr>
      </w:pPr>
      <w:r>
        <w:rPr>
          <w:rFonts w:eastAsia="Calibri"/>
          <w:sz w:val="28"/>
          <w:szCs w:val="28"/>
        </w:rPr>
        <w:t>С каждым годом на территории округа увеличивается количество жителей, у которых впервые выявлены заболевания хроническим алкоголизмом и наркоманией. Данная статистика проведена Роспотребнадзором Кемеровской области- Кузбасса</w:t>
      </w:r>
    </w:p>
    <w:p>
      <w:pPr>
        <w:pStyle w:val="Normal"/>
        <w:ind w:firstLine="567"/>
        <w:jc w:val="both"/>
        <w:rPr>
          <w:rFonts w:eastAsia="Calibri"/>
          <w:sz w:val="28"/>
          <w:szCs w:val="28"/>
        </w:rPr>
      </w:pPr>
      <w:r>
        <w:rPr>
          <w:rFonts w:eastAsia="Calibri"/>
          <w:sz w:val="28"/>
          <w:szCs w:val="28"/>
        </w:rPr>
      </w:r>
    </w:p>
    <w:p>
      <w:pPr>
        <w:pStyle w:val="Normal"/>
        <w:rPr>
          <w:rFonts w:eastAsia="Calibri"/>
          <w:i/>
          <w:i/>
          <w:iCs/>
          <w:sz w:val="28"/>
          <w:szCs w:val="28"/>
        </w:rPr>
      </w:pPr>
      <w:r>
        <w:rPr>
          <w:rFonts w:eastAsia="Calibri"/>
          <w:i/>
          <w:iCs/>
          <w:sz w:val="28"/>
          <w:szCs w:val="28"/>
        </w:rPr>
        <w:t>Таблица 17. Динамика впервые выявленной заболеваемости хроническим алкоголизмом (на 100 тыс. населения)</w:t>
      </w:r>
    </w:p>
    <w:tbl>
      <w:tblPr>
        <w:tblW w:w="9287" w:type="dxa"/>
        <w:jc w:val="center"/>
        <w:tblInd w:w="0" w:type="dxa"/>
        <w:tblLayout w:type="fixed"/>
        <w:tblCellMar>
          <w:top w:w="0" w:type="dxa"/>
          <w:left w:w="108" w:type="dxa"/>
          <w:bottom w:w="0" w:type="dxa"/>
          <w:right w:w="108" w:type="dxa"/>
        </w:tblCellMar>
      </w:tblPr>
      <w:tblGrid>
        <w:gridCol w:w="2520"/>
        <w:gridCol w:w="1677"/>
        <w:gridCol w:w="1680"/>
        <w:gridCol w:w="1674"/>
        <w:gridCol w:w="1736"/>
      </w:tblGrid>
      <w:tr>
        <w:trPr/>
        <w:tc>
          <w:tcPr>
            <w:tcW w:w="2520" w:type="dxa"/>
            <w:tcBorders>
              <w:top w:val="single" w:sz="4" w:space="0" w:color="000000"/>
              <w:left w:val="single" w:sz="4" w:space="0" w:color="000000"/>
              <w:bottom w:val="single" w:sz="4" w:space="0" w:color="000000"/>
              <w:right w:val="single" w:sz="4" w:space="0" w:color="000000"/>
            </w:tcBorders>
            <w:shd w:fill="FFFFFF" w:val="clear"/>
          </w:tcPr>
          <w:p>
            <w:pPr>
              <w:pStyle w:val="Normal"/>
              <w:snapToGrid w:val="false"/>
              <w:spacing w:before="0" w:after="0"/>
              <w:contextualSpacing/>
              <w:rPr>
                <w:rFonts w:eastAsia="Calibri"/>
                <w:sz w:val="24"/>
                <w:szCs w:val="24"/>
                <w:shd w:fill="FF0000" w:val="clear"/>
              </w:rPr>
            </w:pPr>
            <w:r>
              <w:rPr>
                <w:rFonts w:eastAsia="Calibri"/>
                <w:sz w:val="24"/>
                <w:szCs w:val="24"/>
                <w:shd w:fill="FF0000" w:val="clear"/>
              </w:rPr>
            </w:r>
          </w:p>
        </w:tc>
        <w:tc>
          <w:tcPr>
            <w:tcW w:w="1677"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2020</w:t>
            </w:r>
          </w:p>
        </w:tc>
        <w:tc>
          <w:tcPr>
            <w:tcW w:w="168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2021</w:t>
            </w:r>
          </w:p>
        </w:tc>
        <w:tc>
          <w:tcPr>
            <w:tcW w:w="1674"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2022</w:t>
            </w:r>
          </w:p>
        </w:tc>
        <w:tc>
          <w:tcPr>
            <w:tcW w:w="1736"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Динамика (%)</w:t>
            </w:r>
          </w:p>
        </w:tc>
      </w:tr>
      <w:tr>
        <w:trPr/>
        <w:tc>
          <w:tcPr>
            <w:tcW w:w="252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rPr>
                <w:rFonts w:eastAsia="Calibri"/>
                <w:sz w:val="24"/>
                <w:szCs w:val="24"/>
                <w:shd w:fill="FFFFFF" w:val="clear"/>
              </w:rPr>
            </w:pPr>
            <w:r>
              <w:rPr>
                <w:rFonts w:eastAsia="Calibri"/>
                <w:sz w:val="24"/>
                <w:szCs w:val="24"/>
                <w:shd w:fill="FFFFFF" w:val="clear"/>
              </w:rPr>
              <w:t>Кемеровская область</w:t>
            </w:r>
          </w:p>
        </w:tc>
        <w:tc>
          <w:tcPr>
            <w:tcW w:w="1677"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24,3</w:t>
            </w:r>
          </w:p>
        </w:tc>
        <w:tc>
          <w:tcPr>
            <w:tcW w:w="168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rPr>
            </w:pPr>
            <w:r>
              <w:rPr>
                <w:rFonts w:eastAsia="Calibri"/>
                <w:sz w:val="24"/>
                <w:szCs w:val="24"/>
              </w:rPr>
              <w:t>22,0</w:t>
            </w:r>
          </w:p>
        </w:tc>
        <w:tc>
          <w:tcPr>
            <w:tcW w:w="1674"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21,5</w:t>
            </w:r>
          </w:p>
        </w:tc>
        <w:tc>
          <w:tcPr>
            <w:tcW w:w="1736"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-11,5</w:t>
            </w:r>
          </w:p>
        </w:tc>
      </w:tr>
      <w:tr>
        <w:trPr/>
        <w:tc>
          <w:tcPr>
            <w:tcW w:w="252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rPr>
                <w:rFonts w:eastAsia="Calibri"/>
                <w:sz w:val="24"/>
                <w:szCs w:val="24"/>
                <w:shd w:fill="FFFFFF" w:val="clear"/>
              </w:rPr>
            </w:pPr>
            <w:r>
              <w:rPr>
                <w:rFonts w:eastAsia="Calibri"/>
                <w:sz w:val="24"/>
                <w:szCs w:val="24"/>
                <w:shd w:fill="FFFFFF" w:val="clear"/>
              </w:rPr>
              <w:t>Топкинский муниципальный округ</w:t>
            </w:r>
          </w:p>
        </w:tc>
        <w:tc>
          <w:tcPr>
            <w:tcW w:w="1677"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21,0</w:t>
            </w:r>
          </w:p>
        </w:tc>
        <w:tc>
          <w:tcPr>
            <w:tcW w:w="168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rPr>
            </w:pPr>
            <w:r>
              <w:rPr>
                <w:rFonts w:eastAsia="Calibri"/>
                <w:sz w:val="24"/>
                <w:szCs w:val="24"/>
              </w:rPr>
              <w:t>44,6</w:t>
            </w:r>
          </w:p>
        </w:tc>
        <w:tc>
          <w:tcPr>
            <w:tcW w:w="1674"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pPr>
            <w:r>
              <w:rPr>
                <w:rFonts w:eastAsia="Calibri"/>
                <w:sz w:val="24"/>
                <w:szCs w:val="24"/>
                <w:shd w:fill="FFFFFF" w:val="clear"/>
              </w:rPr>
              <w:t>46,3</w:t>
            </w:r>
          </w:p>
        </w:tc>
        <w:tc>
          <w:tcPr>
            <w:tcW w:w="1736"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+120</w:t>
            </w:r>
          </w:p>
        </w:tc>
      </w:tr>
    </w:tbl>
    <w:p>
      <w:pPr>
        <w:pStyle w:val="Normal"/>
        <w:ind w:firstLine="720"/>
        <w:jc w:val="both"/>
        <w:rPr>
          <w:sz w:val="28"/>
          <w:szCs w:val="28"/>
        </w:rPr>
      </w:pPr>
      <w:r>
        <w:rPr>
          <w:sz w:val="28"/>
          <w:szCs w:val="28"/>
        </w:rPr>
      </w:r>
    </w:p>
    <w:p>
      <w:pPr>
        <w:pStyle w:val="Normal"/>
        <w:ind w:firstLine="720"/>
        <w:jc w:val="both"/>
        <w:rPr/>
      </w:pPr>
      <w:r>
        <w:rPr>
          <w:sz w:val="28"/>
          <w:szCs w:val="28"/>
        </w:rPr>
        <w:t>За период с 2020 по 2022 году показатель</w:t>
      </w:r>
      <w:r>
        <w:rPr>
          <w:rFonts w:eastAsia="Calibri"/>
          <w:sz w:val="28"/>
          <w:szCs w:val="28"/>
        </w:rPr>
        <w:t xml:space="preserve"> заболеваемости</w:t>
      </w:r>
      <w:r>
        <w:rPr>
          <w:sz w:val="28"/>
          <w:szCs w:val="28"/>
        </w:rPr>
        <w:t xml:space="preserve"> </w:t>
      </w:r>
      <w:r>
        <w:rPr>
          <w:rFonts w:eastAsia="Calibri"/>
          <w:sz w:val="28"/>
          <w:szCs w:val="28"/>
        </w:rPr>
        <w:t>хроническим алкоголизмом</w:t>
      </w:r>
      <w:r>
        <w:rPr>
          <w:sz w:val="28"/>
          <w:szCs w:val="28"/>
        </w:rPr>
        <w:t xml:space="preserve"> в Топкинском муниципальном округе увеличился в 2,2 раза.</w:t>
      </w:r>
    </w:p>
    <w:p>
      <w:pPr>
        <w:pStyle w:val="Normal"/>
        <w:spacing w:before="0" w:after="0"/>
        <w:ind w:firstLine="709"/>
        <w:contextualSpacing/>
        <w:rPr>
          <w:rFonts w:eastAsia="Calibri"/>
          <w:sz w:val="28"/>
          <w:szCs w:val="28"/>
          <w:shd w:fill="FF0000" w:val="clear"/>
          <w:lang w:eastAsia="en-US"/>
        </w:rPr>
      </w:pPr>
      <w:r>
        <w:rPr>
          <w:rFonts w:eastAsia="Calibri"/>
          <w:sz w:val="28"/>
          <w:szCs w:val="28"/>
          <w:shd w:fill="FF0000" w:val="clear"/>
          <w:lang w:eastAsia="en-US"/>
        </w:rPr>
      </w:r>
    </w:p>
    <w:p>
      <w:pPr>
        <w:pStyle w:val="Normal"/>
        <w:rPr>
          <w:rFonts w:eastAsia="Calibri"/>
          <w:i/>
          <w:i/>
          <w:iCs/>
          <w:sz w:val="28"/>
          <w:szCs w:val="28"/>
        </w:rPr>
      </w:pPr>
      <w:r>
        <w:rPr>
          <w:rFonts w:eastAsia="Calibri"/>
          <w:i/>
          <w:iCs/>
          <w:sz w:val="28"/>
          <w:szCs w:val="28"/>
        </w:rPr>
        <w:t>Таблица 18. Динамика впервые выявленной заболеваемости наркоманией (на 100 тыс. населения)</w:t>
      </w:r>
    </w:p>
    <w:tbl>
      <w:tblPr>
        <w:tblW w:w="9287" w:type="dxa"/>
        <w:jc w:val="center"/>
        <w:tblInd w:w="0" w:type="dxa"/>
        <w:tblLayout w:type="fixed"/>
        <w:tblCellMar>
          <w:top w:w="0" w:type="dxa"/>
          <w:left w:w="108" w:type="dxa"/>
          <w:bottom w:w="0" w:type="dxa"/>
          <w:right w:w="108" w:type="dxa"/>
        </w:tblCellMar>
      </w:tblPr>
      <w:tblGrid>
        <w:gridCol w:w="2520"/>
        <w:gridCol w:w="1677"/>
        <w:gridCol w:w="1680"/>
        <w:gridCol w:w="1674"/>
        <w:gridCol w:w="1736"/>
      </w:tblGrid>
      <w:tr>
        <w:trPr/>
        <w:tc>
          <w:tcPr>
            <w:tcW w:w="2520" w:type="dxa"/>
            <w:tcBorders>
              <w:top w:val="single" w:sz="4" w:space="0" w:color="000000"/>
              <w:left w:val="single" w:sz="4" w:space="0" w:color="000000"/>
              <w:bottom w:val="single" w:sz="4" w:space="0" w:color="000000"/>
              <w:right w:val="single" w:sz="4" w:space="0" w:color="000000"/>
            </w:tcBorders>
            <w:shd w:fill="FFFFFF" w:val="clear"/>
          </w:tcPr>
          <w:p>
            <w:pPr>
              <w:pStyle w:val="Normal"/>
              <w:snapToGrid w:val="false"/>
              <w:spacing w:before="0" w:after="0"/>
              <w:contextualSpacing/>
              <w:rPr>
                <w:rFonts w:eastAsia="Calibri"/>
                <w:sz w:val="24"/>
                <w:szCs w:val="24"/>
                <w:shd w:fill="FF0000" w:val="clear"/>
              </w:rPr>
            </w:pPr>
            <w:r>
              <w:rPr>
                <w:rFonts w:eastAsia="Calibri"/>
                <w:sz w:val="24"/>
                <w:szCs w:val="24"/>
                <w:shd w:fill="FF0000" w:val="clear"/>
              </w:rPr>
            </w:r>
          </w:p>
        </w:tc>
        <w:tc>
          <w:tcPr>
            <w:tcW w:w="1677"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2020</w:t>
            </w:r>
          </w:p>
        </w:tc>
        <w:tc>
          <w:tcPr>
            <w:tcW w:w="168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2021</w:t>
            </w:r>
          </w:p>
        </w:tc>
        <w:tc>
          <w:tcPr>
            <w:tcW w:w="1674"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2022</w:t>
            </w:r>
          </w:p>
        </w:tc>
        <w:tc>
          <w:tcPr>
            <w:tcW w:w="1736"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Динамика (%)</w:t>
            </w:r>
          </w:p>
        </w:tc>
      </w:tr>
      <w:tr>
        <w:trPr/>
        <w:tc>
          <w:tcPr>
            <w:tcW w:w="252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rPr>
                <w:rFonts w:eastAsia="Calibri"/>
                <w:sz w:val="24"/>
                <w:szCs w:val="24"/>
                <w:shd w:fill="FFFFFF" w:val="clear"/>
              </w:rPr>
            </w:pPr>
            <w:r>
              <w:rPr>
                <w:rFonts w:eastAsia="Calibri"/>
                <w:sz w:val="24"/>
                <w:szCs w:val="24"/>
                <w:shd w:fill="FFFFFF" w:val="clear"/>
              </w:rPr>
              <w:t>Кемеровская область</w:t>
            </w:r>
          </w:p>
        </w:tc>
        <w:tc>
          <w:tcPr>
            <w:tcW w:w="1677"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12,0</w:t>
            </w:r>
          </w:p>
        </w:tc>
        <w:tc>
          <w:tcPr>
            <w:tcW w:w="168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rPr>
            </w:pPr>
            <w:r>
              <w:rPr>
                <w:rFonts w:eastAsia="Calibri"/>
                <w:sz w:val="24"/>
                <w:szCs w:val="24"/>
              </w:rPr>
              <w:t>11,2</w:t>
            </w:r>
          </w:p>
        </w:tc>
        <w:tc>
          <w:tcPr>
            <w:tcW w:w="1674"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10,2</w:t>
            </w:r>
          </w:p>
        </w:tc>
        <w:tc>
          <w:tcPr>
            <w:tcW w:w="1736"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-15</w:t>
            </w:r>
          </w:p>
        </w:tc>
      </w:tr>
      <w:tr>
        <w:trPr/>
        <w:tc>
          <w:tcPr>
            <w:tcW w:w="252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rPr>
                <w:rFonts w:eastAsia="Calibri"/>
                <w:sz w:val="24"/>
                <w:szCs w:val="24"/>
                <w:shd w:fill="FFFFFF" w:val="clear"/>
              </w:rPr>
            </w:pPr>
            <w:r>
              <w:rPr>
                <w:rFonts w:eastAsia="Calibri"/>
                <w:sz w:val="24"/>
                <w:szCs w:val="24"/>
                <w:shd w:fill="FFFFFF" w:val="clear"/>
              </w:rPr>
              <w:t>Топкинский муниципальный округ</w:t>
            </w:r>
          </w:p>
        </w:tc>
        <w:tc>
          <w:tcPr>
            <w:tcW w:w="1677"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11,7</w:t>
            </w:r>
          </w:p>
        </w:tc>
        <w:tc>
          <w:tcPr>
            <w:tcW w:w="168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rPr>
            </w:pPr>
            <w:r>
              <w:rPr>
                <w:rFonts w:eastAsia="Calibri"/>
                <w:sz w:val="24"/>
                <w:szCs w:val="24"/>
              </w:rPr>
              <w:t>25,8</w:t>
            </w:r>
          </w:p>
        </w:tc>
        <w:tc>
          <w:tcPr>
            <w:tcW w:w="1674"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26,8</w:t>
            </w:r>
          </w:p>
        </w:tc>
        <w:tc>
          <w:tcPr>
            <w:tcW w:w="1736"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+129</w:t>
            </w:r>
          </w:p>
        </w:tc>
      </w:tr>
    </w:tbl>
    <w:p>
      <w:pPr>
        <w:pStyle w:val="Normal"/>
        <w:spacing w:before="0" w:after="0"/>
        <w:ind w:firstLine="709"/>
        <w:contextualSpacing/>
        <w:jc w:val="both"/>
        <w:rPr>
          <w:sz w:val="28"/>
          <w:szCs w:val="28"/>
          <w:shd w:fill="92D050" w:val="clear"/>
        </w:rPr>
      </w:pPr>
      <w:r>
        <w:rPr>
          <w:sz w:val="28"/>
          <w:szCs w:val="28"/>
          <w:shd w:fill="92D050" w:val="clear"/>
        </w:rPr>
      </w:r>
    </w:p>
    <w:p>
      <w:pPr>
        <w:pStyle w:val="Normal"/>
        <w:ind w:firstLine="720"/>
        <w:jc w:val="both"/>
        <w:rPr/>
      </w:pPr>
      <w:r>
        <w:rPr>
          <w:sz w:val="28"/>
          <w:szCs w:val="28"/>
        </w:rPr>
        <w:t>За период с 2020 по 2022 году показатель</w:t>
      </w:r>
      <w:r>
        <w:rPr>
          <w:rFonts w:eastAsia="Calibri"/>
          <w:sz w:val="28"/>
          <w:szCs w:val="28"/>
        </w:rPr>
        <w:t xml:space="preserve"> заболеваемости хроническим алкоголизмом</w:t>
      </w:r>
      <w:r>
        <w:rPr>
          <w:sz w:val="28"/>
          <w:szCs w:val="28"/>
        </w:rPr>
        <w:t xml:space="preserve"> в Топкинском муниципальном округе увеличился в 2,2 раза.</w:t>
      </w:r>
    </w:p>
    <w:p>
      <w:pPr>
        <w:pStyle w:val="Normal"/>
        <w:jc w:val="both"/>
        <w:rPr>
          <w:rFonts w:eastAsia="Calibri"/>
          <w:sz w:val="28"/>
          <w:szCs w:val="28"/>
        </w:rPr>
      </w:pPr>
      <w:r>
        <w:rPr>
          <w:rFonts w:eastAsia="Calibri"/>
          <w:sz w:val="28"/>
          <w:szCs w:val="28"/>
        </w:rPr>
      </w:r>
    </w:p>
    <w:p>
      <w:pPr>
        <w:pStyle w:val="ListParagraph"/>
        <w:numPr>
          <w:ilvl w:val="0"/>
          <w:numId w:val="6"/>
        </w:numPr>
        <w:spacing w:lineRule="auto" w:line="240" w:before="0" w:after="0"/>
        <w:jc w:val="center"/>
        <w:rPr>
          <w:rFonts w:ascii="Times New Roman" w:hAnsi="Times New Roman" w:cs="Times New Roman"/>
          <w:b/>
          <w:b/>
          <w:bCs/>
          <w:sz w:val="28"/>
          <w:szCs w:val="28"/>
        </w:rPr>
      </w:pPr>
      <w:r>
        <w:rPr>
          <w:rFonts w:cs="Times New Roman" w:ascii="Times New Roman" w:hAnsi="Times New Roman"/>
          <w:b/>
          <w:bCs/>
          <w:sz w:val="28"/>
          <w:szCs w:val="28"/>
        </w:rPr>
        <w:t>Факторы риска развития хронических неинфекционных заболеваний, репродуктивное здоровье</w:t>
      </w:r>
    </w:p>
    <w:p>
      <w:pPr>
        <w:pStyle w:val="Normal"/>
        <w:ind w:firstLine="709"/>
        <w:jc w:val="both"/>
        <w:rPr>
          <w:b/>
          <w:b/>
          <w:bCs/>
          <w:sz w:val="28"/>
          <w:szCs w:val="28"/>
        </w:rPr>
      </w:pPr>
      <w:r>
        <w:rPr>
          <w:b/>
          <w:bCs/>
          <w:sz w:val="28"/>
          <w:szCs w:val="28"/>
        </w:rPr>
      </w:r>
    </w:p>
    <w:p>
      <w:pPr>
        <w:pStyle w:val="ListParagraph"/>
        <w:spacing w:lineRule="auto" w:line="240" w:before="0" w:after="0"/>
        <w:ind w:left="0" w:right="0" w:hanging="0"/>
        <w:jc w:val="center"/>
        <w:rPr>
          <w:rFonts w:ascii="Times New Roman" w:hAnsi="Times New Roman" w:cs="Times New Roman"/>
          <w:sz w:val="28"/>
          <w:szCs w:val="28"/>
        </w:rPr>
      </w:pPr>
      <w:r>
        <w:rPr>
          <w:rFonts w:cs="Times New Roman" w:ascii="Times New Roman" w:hAnsi="Times New Roman"/>
          <w:sz w:val="28"/>
          <w:szCs w:val="28"/>
        </w:rPr>
        <w:t>6.1 Характеристика основных социально-экономических факторов, влияющих на здоровье населения</w:t>
      </w:r>
    </w:p>
    <w:p>
      <w:pPr>
        <w:pStyle w:val="ListParagraph"/>
        <w:spacing w:lineRule="auto" w:line="240" w:before="0" w:after="0"/>
        <w:ind w:left="0" w:right="0" w:hanging="0"/>
        <w:rPr>
          <w:rFonts w:ascii="Times New Roman" w:hAnsi="Times New Roman" w:cs="Times New Roman"/>
          <w:sz w:val="28"/>
          <w:szCs w:val="28"/>
        </w:rPr>
      </w:pPr>
      <w:r>
        <w:rPr>
          <w:rFonts w:cs="Times New Roman" w:ascii="Times New Roman" w:hAnsi="Times New Roman"/>
          <w:sz w:val="28"/>
          <w:szCs w:val="28"/>
        </w:rPr>
      </w:r>
    </w:p>
    <w:p>
      <w:pPr>
        <w:pStyle w:val="Style30"/>
        <w:spacing w:before="100" w:after="0"/>
        <w:ind w:firstLine="709"/>
        <w:jc w:val="both"/>
        <w:rPr>
          <w:rFonts w:eastAsia="Calibri"/>
          <w:i/>
          <w:i/>
          <w:iCs/>
          <w:sz w:val="28"/>
          <w:szCs w:val="28"/>
          <w:shd w:fill="FFFFFF" w:val="clear"/>
        </w:rPr>
      </w:pPr>
      <w:r>
        <w:rPr>
          <w:rFonts w:eastAsia="Calibri"/>
          <w:i/>
          <w:iCs/>
          <w:sz w:val="28"/>
          <w:szCs w:val="28"/>
          <w:shd w:fill="FFFFFF" w:val="clear"/>
        </w:rPr>
        <w:t>Таблица 19. Бюджет Топкинского муниципального округа (млн. руб.)</w:t>
      </w:r>
    </w:p>
    <w:tbl>
      <w:tblPr>
        <w:tblW w:w="9267" w:type="dxa"/>
        <w:jc w:val="left"/>
        <w:tblInd w:w="-59" w:type="dxa"/>
        <w:tblLayout w:type="fixed"/>
        <w:tblCellMar>
          <w:top w:w="0" w:type="dxa"/>
          <w:left w:w="57" w:type="dxa"/>
          <w:bottom w:w="0" w:type="dxa"/>
          <w:right w:w="57" w:type="dxa"/>
        </w:tblCellMar>
      </w:tblPr>
      <w:tblGrid>
        <w:gridCol w:w="1028"/>
        <w:gridCol w:w="1028"/>
        <w:gridCol w:w="1030"/>
        <w:gridCol w:w="1028"/>
        <w:gridCol w:w="1029"/>
        <w:gridCol w:w="1031"/>
        <w:gridCol w:w="1029"/>
        <w:gridCol w:w="1029"/>
        <w:gridCol w:w="1029"/>
        <w:gridCol w:w="6"/>
      </w:tblGrid>
      <w:tr>
        <w:trPr>
          <w:trHeight w:val="380" w:hRule="atLeast"/>
        </w:trPr>
        <w:tc>
          <w:tcPr>
            <w:tcW w:w="3086" w:type="dxa"/>
            <w:gridSpan w:val="3"/>
            <w:tcBorders>
              <w:top w:val="double" w:sz="4" w:space="0" w:color="000000"/>
              <w:left w:val="single" w:sz="2" w:space="0" w:color="000000"/>
              <w:bottom w:val="single" w:sz="4" w:space="0" w:color="000000"/>
              <w:right w:val="single" w:sz="2" w:space="0" w:color="000000"/>
            </w:tcBorders>
            <w:vAlign w:val="bottom"/>
          </w:tcPr>
          <w:p>
            <w:pPr>
              <w:pStyle w:val="Default"/>
              <w:shd w:fill="FFFFFF" w:val="clear"/>
              <w:spacing w:lineRule="auto" w:line="264" w:before="70" w:after="0"/>
              <w:jc w:val="center"/>
              <w:rPr/>
            </w:pPr>
            <w:r>
              <w:rPr/>
              <w:t>2020</w:t>
            </w:r>
          </w:p>
        </w:tc>
        <w:tc>
          <w:tcPr>
            <w:tcW w:w="3088" w:type="dxa"/>
            <w:gridSpan w:val="3"/>
            <w:tcBorders>
              <w:top w:val="double" w:sz="4" w:space="0" w:color="000000"/>
              <w:left w:val="single" w:sz="2" w:space="0" w:color="000000"/>
              <w:bottom w:val="single" w:sz="2" w:space="0" w:color="000000"/>
              <w:right w:val="single" w:sz="2" w:space="0" w:color="000000"/>
            </w:tcBorders>
            <w:vAlign w:val="bottom"/>
          </w:tcPr>
          <w:p>
            <w:pPr>
              <w:pStyle w:val="Default"/>
              <w:shd w:fill="FFFFFF" w:val="clear"/>
              <w:spacing w:lineRule="auto" w:line="264" w:before="70" w:after="0"/>
              <w:jc w:val="center"/>
              <w:rPr/>
            </w:pPr>
            <w:r>
              <w:rPr/>
              <w:t>2021</w:t>
            </w:r>
          </w:p>
        </w:tc>
        <w:tc>
          <w:tcPr>
            <w:tcW w:w="3093" w:type="dxa"/>
            <w:gridSpan w:val="3"/>
            <w:tcBorders>
              <w:top w:val="double" w:sz="4" w:space="0" w:color="000000"/>
              <w:left w:val="single" w:sz="2" w:space="0" w:color="000000"/>
              <w:bottom w:val="single" w:sz="2" w:space="0" w:color="000000"/>
              <w:right w:val="double" w:sz="4" w:space="0" w:color="000000"/>
            </w:tcBorders>
            <w:vAlign w:val="bottom"/>
          </w:tcPr>
          <w:p>
            <w:pPr>
              <w:pStyle w:val="Default"/>
              <w:shd w:fill="FFFFFF" w:val="clear"/>
              <w:spacing w:lineRule="auto" w:line="264" w:before="70" w:after="0"/>
              <w:jc w:val="center"/>
              <w:rPr/>
            </w:pPr>
            <w:r>
              <w:rPr/>
              <w:t>2022</w:t>
            </w:r>
          </w:p>
        </w:tc>
      </w:tr>
      <w:tr>
        <w:trPr>
          <w:trHeight w:val="1342" w:hRule="atLeast"/>
        </w:trPr>
        <w:tc>
          <w:tcPr>
            <w:tcW w:w="1028" w:type="dxa"/>
            <w:tcBorders>
              <w:top w:val="single" w:sz="4" w:space="0" w:color="000000"/>
              <w:left w:val="single" w:sz="2" w:space="0" w:color="000000"/>
              <w:bottom w:val="single" w:sz="2"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доходы</w:t>
            </w:r>
          </w:p>
        </w:tc>
        <w:tc>
          <w:tcPr>
            <w:tcW w:w="1028" w:type="dxa"/>
            <w:tcBorders>
              <w:top w:val="single" w:sz="4" w:space="0" w:color="000000"/>
              <w:left w:val="single" w:sz="2" w:space="0" w:color="000000"/>
              <w:bottom w:val="single" w:sz="2"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расходы</w:t>
            </w:r>
          </w:p>
        </w:tc>
        <w:tc>
          <w:tcPr>
            <w:tcW w:w="1030" w:type="dxa"/>
            <w:tcBorders>
              <w:top w:val="single" w:sz="4" w:space="0" w:color="000000"/>
              <w:left w:val="single" w:sz="2" w:space="0" w:color="000000"/>
              <w:bottom w:val="single" w:sz="2" w:space="0" w:color="000000"/>
              <w:right w:val="single" w:sz="2" w:space="0" w:color="000000"/>
            </w:tcBorders>
          </w:tcPr>
          <w:p>
            <w:pPr>
              <w:pStyle w:val="Normal"/>
              <w:shd w:fill="FFFFFF" w:val="clear"/>
              <w:spacing w:lineRule="auto" w:line="264" w:before="70" w:after="0"/>
              <w:ind w:left="-113" w:right="-113" w:hanging="0"/>
              <w:jc w:val="center"/>
              <w:rPr>
                <w:sz w:val="24"/>
                <w:szCs w:val="24"/>
              </w:rPr>
            </w:pPr>
            <w:r>
              <w:rPr>
                <w:sz w:val="24"/>
                <w:szCs w:val="24"/>
              </w:rPr>
              <w:t>профицит,</w:t>
              <w:br/>
              <w:t>дефицит</w:t>
            </w:r>
          </w:p>
          <w:p>
            <w:pPr>
              <w:pStyle w:val="Normal"/>
              <w:shd w:fill="FFFFFF" w:val="clear"/>
              <w:spacing w:lineRule="auto" w:line="264" w:before="70" w:after="0"/>
              <w:ind w:left="-113" w:right="-113" w:hanging="0"/>
              <w:jc w:val="center"/>
              <w:rPr>
                <w:sz w:val="24"/>
                <w:szCs w:val="24"/>
              </w:rPr>
            </w:pPr>
            <w:r>
              <w:rPr>
                <w:sz w:val="24"/>
                <w:szCs w:val="24"/>
              </w:rPr>
              <w:t xml:space="preserve"> </w:t>
            </w:r>
            <w:r>
              <w:rPr>
                <w:sz w:val="24"/>
                <w:szCs w:val="24"/>
              </w:rPr>
              <w:t>(-)</w:t>
            </w:r>
          </w:p>
        </w:tc>
        <w:tc>
          <w:tcPr>
            <w:tcW w:w="1028" w:type="dxa"/>
            <w:tcBorders>
              <w:top w:val="single" w:sz="2" w:space="0" w:color="000000"/>
              <w:left w:val="single" w:sz="2" w:space="0" w:color="000000"/>
              <w:bottom w:val="single" w:sz="2"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доходы</w:t>
            </w:r>
          </w:p>
        </w:tc>
        <w:tc>
          <w:tcPr>
            <w:tcW w:w="1029" w:type="dxa"/>
            <w:tcBorders>
              <w:top w:val="single" w:sz="2" w:space="0" w:color="000000"/>
              <w:left w:val="single" w:sz="2" w:space="0" w:color="000000"/>
              <w:bottom w:val="single" w:sz="2"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расходы</w:t>
            </w:r>
          </w:p>
        </w:tc>
        <w:tc>
          <w:tcPr>
            <w:tcW w:w="1031" w:type="dxa"/>
            <w:tcBorders>
              <w:top w:val="single" w:sz="2" w:space="0" w:color="000000"/>
              <w:left w:val="single" w:sz="2" w:space="0" w:color="000000"/>
              <w:bottom w:val="single" w:sz="2" w:space="0" w:color="000000"/>
              <w:right w:val="single" w:sz="2" w:space="0" w:color="000000"/>
            </w:tcBorders>
          </w:tcPr>
          <w:p>
            <w:pPr>
              <w:pStyle w:val="Normal"/>
              <w:shd w:fill="FFFFFF" w:val="clear"/>
              <w:spacing w:lineRule="auto" w:line="264" w:before="70" w:after="0"/>
              <w:ind w:left="-113" w:right="-113" w:hanging="0"/>
              <w:jc w:val="center"/>
              <w:rPr>
                <w:sz w:val="24"/>
                <w:szCs w:val="24"/>
              </w:rPr>
            </w:pPr>
            <w:r>
              <w:rPr>
                <w:sz w:val="24"/>
                <w:szCs w:val="24"/>
              </w:rPr>
              <w:t>профицит,</w:t>
              <w:br/>
              <w:t>дефицит</w:t>
            </w:r>
          </w:p>
          <w:p>
            <w:pPr>
              <w:pStyle w:val="Normal"/>
              <w:shd w:fill="FFFFFF" w:val="clear"/>
              <w:spacing w:lineRule="auto" w:line="264" w:before="70" w:after="0"/>
              <w:ind w:left="-113" w:right="-113" w:hanging="0"/>
              <w:jc w:val="center"/>
              <w:rPr>
                <w:sz w:val="24"/>
                <w:szCs w:val="24"/>
              </w:rPr>
            </w:pPr>
            <w:r>
              <w:rPr>
                <w:sz w:val="24"/>
                <w:szCs w:val="24"/>
              </w:rPr>
              <w:t xml:space="preserve"> </w:t>
            </w:r>
            <w:r>
              <w:rPr>
                <w:sz w:val="24"/>
                <w:szCs w:val="24"/>
              </w:rPr>
              <w:t>(-)</w:t>
            </w:r>
          </w:p>
        </w:tc>
        <w:tc>
          <w:tcPr>
            <w:tcW w:w="1029" w:type="dxa"/>
            <w:tcBorders>
              <w:top w:val="single" w:sz="2" w:space="0" w:color="000000"/>
              <w:left w:val="single" w:sz="2" w:space="0" w:color="000000"/>
              <w:bottom w:val="single" w:sz="4"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доходы</w:t>
            </w:r>
          </w:p>
        </w:tc>
        <w:tc>
          <w:tcPr>
            <w:tcW w:w="1029" w:type="dxa"/>
            <w:tcBorders>
              <w:top w:val="single" w:sz="2" w:space="0" w:color="000000"/>
              <w:left w:val="single" w:sz="2" w:space="0" w:color="000000"/>
              <w:bottom w:val="single" w:sz="4"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расходы</w:t>
            </w:r>
          </w:p>
        </w:tc>
        <w:tc>
          <w:tcPr>
            <w:tcW w:w="1029" w:type="dxa"/>
            <w:tcBorders>
              <w:top w:val="single" w:sz="2" w:space="0" w:color="000000"/>
              <w:left w:val="single" w:sz="2" w:space="0" w:color="000000"/>
              <w:bottom w:val="single" w:sz="4" w:space="0" w:color="000000"/>
              <w:right w:val="double" w:sz="4" w:space="0" w:color="000000"/>
            </w:tcBorders>
          </w:tcPr>
          <w:p>
            <w:pPr>
              <w:pStyle w:val="Normal"/>
              <w:shd w:fill="FFFFFF" w:val="clear"/>
              <w:spacing w:lineRule="auto" w:line="264" w:before="70" w:after="0"/>
              <w:ind w:left="-113" w:right="-113" w:hanging="0"/>
              <w:jc w:val="center"/>
              <w:rPr>
                <w:sz w:val="24"/>
                <w:szCs w:val="24"/>
              </w:rPr>
            </w:pPr>
            <w:r>
              <w:rPr>
                <w:sz w:val="24"/>
                <w:szCs w:val="24"/>
              </w:rPr>
              <w:t>профицит,</w:t>
              <w:br/>
              <w:t xml:space="preserve">дефицит </w:t>
            </w:r>
          </w:p>
          <w:p>
            <w:pPr>
              <w:pStyle w:val="Normal"/>
              <w:shd w:fill="FFFFFF" w:val="clear"/>
              <w:spacing w:lineRule="auto" w:line="264" w:before="70" w:after="0"/>
              <w:ind w:left="-113" w:right="-113" w:hanging="0"/>
              <w:jc w:val="center"/>
              <w:rPr>
                <w:sz w:val="24"/>
                <w:szCs w:val="24"/>
              </w:rPr>
            </w:pPr>
            <w:r>
              <w:rPr>
                <w:sz w:val="24"/>
                <w:szCs w:val="24"/>
              </w:rPr>
              <w:t>(-)</w:t>
            </w:r>
          </w:p>
        </w:tc>
      </w:tr>
      <w:tr>
        <w:trPr>
          <w:trHeight w:val="364" w:hRule="atLeast"/>
        </w:trPr>
        <w:tc>
          <w:tcPr>
            <w:tcW w:w="1028" w:type="dxa"/>
            <w:tcBorders>
              <w:top w:val="dotted" w:sz="4" w:space="0" w:color="000000"/>
              <w:left w:val="dotted" w:sz="4" w:space="0" w:color="000000"/>
              <w:bottom w:val="dotted" w:sz="4" w:space="0" w:color="000000"/>
              <w:right w:val="dotted" w:sz="4" w:space="0" w:color="000000"/>
            </w:tcBorders>
            <w:vAlign w:val="center"/>
          </w:tcPr>
          <w:p>
            <w:pPr>
              <w:pStyle w:val="Normal"/>
              <w:shd w:fill="FFFFFF" w:val="clear"/>
              <w:tabs>
                <w:tab w:val="clear" w:pos="708"/>
                <w:tab w:val="decimal" w:pos="539" w:leader="none"/>
              </w:tabs>
              <w:spacing w:lineRule="auto" w:line="264" w:before="70" w:after="0"/>
              <w:rPr>
                <w:color w:val="000000"/>
                <w:sz w:val="24"/>
                <w:szCs w:val="24"/>
              </w:rPr>
            </w:pPr>
            <w:r>
              <w:rPr>
                <w:color w:val="000000"/>
                <w:sz w:val="24"/>
                <w:szCs w:val="24"/>
              </w:rPr>
              <w:t>1911,4</w:t>
            </w:r>
          </w:p>
        </w:tc>
        <w:tc>
          <w:tcPr>
            <w:tcW w:w="1028" w:type="dxa"/>
            <w:tcBorders>
              <w:top w:val="dotted" w:sz="4" w:space="0" w:color="000000"/>
              <w:left w:val="dotted" w:sz="4" w:space="0" w:color="000000"/>
              <w:bottom w:val="dotted" w:sz="4" w:space="0" w:color="000000"/>
              <w:right w:val="dotted" w:sz="4" w:space="0" w:color="000000"/>
            </w:tcBorders>
            <w:vAlign w:val="center"/>
          </w:tcPr>
          <w:p>
            <w:pPr>
              <w:pStyle w:val="Normal"/>
              <w:shd w:fill="FFFFFF" w:val="clear"/>
              <w:tabs>
                <w:tab w:val="clear" w:pos="708"/>
                <w:tab w:val="decimal" w:pos="539" w:leader="none"/>
              </w:tabs>
              <w:spacing w:lineRule="auto" w:line="264" w:before="70" w:after="0"/>
              <w:rPr>
                <w:color w:val="000000"/>
                <w:sz w:val="24"/>
                <w:szCs w:val="24"/>
              </w:rPr>
            </w:pPr>
            <w:r>
              <w:rPr>
                <w:color w:val="000000"/>
                <w:sz w:val="24"/>
                <w:szCs w:val="24"/>
              </w:rPr>
              <w:t>1911,0</w:t>
            </w:r>
          </w:p>
        </w:tc>
        <w:tc>
          <w:tcPr>
            <w:tcW w:w="1030" w:type="dxa"/>
            <w:tcBorders>
              <w:top w:val="dotted" w:sz="4" w:space="0" w:color="000000"/>
              <w:left w:val="dotted" w:sz="4" w:space="0" w:color="000000"/>
              <w:bottom w:val="dotted" w:sz="4" w:space="0" w:color="000000"/>
              <w:right w:val="dotted" w:sz="4" w:space="0" w:color="000000"/>
            </w:tcBorders>
            <w:vAlign w:val="center"/>
          </w:tcPr>
          <w:p>
            <w:pPr>
              <w:pStyle w:val="Normal"/>
              <w:shd w:fill="FFFFFF" w:val="clear"/>
              <w:tabs>
                <w:tab w:val="clear" w:pos="708"/>
                <w:tab w:val="decimal" w:pos="449" w:leader="none"/>
              </w:tabs>
              <w:spacing w:lineRule="auto" w:line="264" w:before="70" w:after="0"/>
              <w:rPr>
                <w:color w:val="000000"/>
                <w:sz w:val="24"/>
                <w:szCs w:val="24"/>
              </w:rPr>
            </w:pPr>
            <w:r>
              <w:rPr>
                <w:color w:val="000000"/>
                <w:sz w:val="24"/>
                <w:szCs w:val="24"/>
              </w:rPr>
              <w:t>0,4</w:t>
            </w:r>
          </w:p>
        </w:tc>
        <w:tc>
          <w:tcPr>
            <w:tcW w:w="1028"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color w:val="000000"/>
                <w:sz w:val="24"/>
                <w:szCs w:val="24"/>
              </w:rPr>
            </w:pPr>
            <w:r>
              <w:rPr>
                <w:color w:val="000000"/>
                <w:sz w:val="24"/>
                <w:szCs w:val="24"/>
              </w:rPr>
              <w:t>2003,1</w:t>
            </w:r>
          </w:p>
        </w:tc>
        <w:tc>
          <w:tcPr>
            <w:tcW w:w="1029"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color w:val="000000"/>
                <w:sz w:val="24"/>
                <w:szCs w:val="24"/>
              </w:rPr>
            </w:pPr>
            <w:r>
              <w:rPr>
                <w:color w:val="000000"/>
                <w:sz w:val="24"/>
                <w:szCs w:val="24"/>
              </w:rPr>
              <w:t>1972,8</w:t>
            </w:r>
          </w:p>
        </w:tc>
        <w:tc>
          <w:tcPr>
            <w:tcW w:w="1031"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color w:val="000000"/>
                <w:sz w:val="24"/>
                <w:szCs w:val="24"/>
              </w:rPr>
            </w:pPr>
            <w:r>
              <w:rPr>
                <w:color w:val="000000"/>
                <w:sz w:val="24"/>
                <w:szCs w:val="24"/>
              </w:rPr>
              <w:t>30,3</w:t>
            </w:r>
          </w:p>
        </w:tc>
        <w:tc>
          <w:tcPr>
            <w:tcW w:w="1029"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494" w:leader="none"/>
              </w:tabs>
              <w:spacing w:lineRule="auto" w:line="264" w:before="70" w:after="0"/>
              <w:rPr>
                <w:color w:val="000000"/>
                <w:sz w:val="24"/>
                <w:szCs w:val="24"/>
              </w:rPr>
            </w:pPr>
            <w:r>
              <w:rPr>
                <w:color w:val="000000"/>
                <w:sz w:val="24"/>
                <w:szCs w:val="24"/>
              </w:rPr>
              <w:t>2669,3</w:t>
            </w:r>
          </w:p>
        </w:tc>
        <w:tc>
          <w:tcPr>
            <w:tcW w:w="1029"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494" w:leader="none"/>
              </w:tabs>
              <w:spacing w:lineRule="auto" w:line="264" w:before="70" w:after="0"/>
              <w:rPr>
                <w:color w:val="000000"/>
                <w:sz w:val="24"/>
                <w:szCs w:val="24"/>
              </w:rPr>
            </w:pPr>
            <w:r>
              <w:rPr>
                <w:color w:val="000000"/>
                <w:sz w:val="24"/>
                <w:szCs w:val="24"/>
              </w:rPr>
              <w:t>2662,2</w:t>
            </w:r>
          </w:p>
        </w:tc>
        <w:tc>
          <w:tcPr>
            <w:tcW w:w="1029" w:type="dxa"/>
            <w:tcBorders>
              <w:top w:val="dotted" w:sz="4" w:space="0" w:color="000000"/>
              <w:left w:val="dotted" w:sz="4" w:space="0" w:color="000000"/>
              <w:bottom w:val="dotted" w:sz="4" w:space="0" w:color="000000"/>
              <w:right w:val="double" w:sz="4" w:space="0" w:color="000000"/>
            </w:tcBorders>
            <w:vAlign w:val="center"/>
          </w:tcPr>
          <w:p>
            <w:pPr>
              <w:pStyle w:val="Normal"/>
              <w:tabs>
                <w:tab w:val="clear" w:pos="708"/>
                <w:tab w:val="decimal" w:pos="494" w:leader="none"/>
              </w:tabs>
              <w:spacing w:lineRule="auto" w:line="264" w:before="70" w:after="0"/>
              <w:rPr>
                <w:color w:val="000000"/>
                <w:sz w:val="24"/>
                <w:szCs w:val="24"/>
              </w:rPr>
            </w:pPr>
            <w:r>
              <w:rPr>
                <w:color w:val="000000"/>
                <w:sz w:val="24"/>
                <w:szCs w:val="24"/>
              </w:rPr>
              <w:t>7,1</w:t>
            </w:r>
          </w:p>
        </w:tc>
      </w:tr>
    </w:tbl>
    <w:p>
      <w:pPr>
        <w:pStyle w:val="Normal"/>
        <w:shd w:fill="FFFFFF" w:val="clear"/>
        <w:rPr>
          <w:rFonts w:ascii="Arial Narrow" w:hAnsi="Arial Narrow" w:cs="Arial Narrow"/>
          <w:b/>
          <w:b/>
          <w:sz w:val="10"/>
          <w:szCs w:val="10"/>
        </w:rPr>
      </w:pPr>
      <w:r>
        <w:rPr>
          <w:rFonts w:cs="Arial Narrow" w:ascii="Arial Narrow" w:hAnsi="Arial Narrow"/>
          <w:b/>
          <w:sz w:val="10"/>
          <w:szCs w:val="10"/>
        </w:rPr>
      </w:r>
    </w:p>
    <w:p>
      <w:pPr>
        <w:pStyle w:val="ListParagraph"/>
        <w:spacing w:lineRule="auto" w:line="240" w:before="0" w:after="0"/>
        <w:ind w:left="0" w:right="0" w:hanging="0"/>
        <w:rPr>
          <w:rFonts w:ascii="Times New Roman" w:hAnsi="Times New Roman" w:cs="Times New Roman"/>
          <w:b/>
          <w:b/>
          <w:sz w:val="28"/>
          <w:szCs w:val="28"/>
        </w:rPr>
      </w:pPr>
      <w:r>
        <w:rPr>
          <w:rFonts w:cs="Times New Roman" w:ascii="Times New Roman" w:hAnsi="Times New Roman"/>
          <w:b/>
          <w:sz w:val="28"/>
          <w:szCs w:val="28"/>
        </w:rPr>
      </w:r>
    </w:p>
    <w:p>
      <w:pPr>
        <w:pStyle w:val="Normal"/>
        <w:shd w:fill="FFFFFF" w:val="clear"/>
        <w:ind w:firstLine="720"/>
        <w:jc w:val="both"/>
        <w:rPr>
          <w:bCs/>
          <w:i/>
          <w:i/>
          <w:iCs/>
          <w:sz w:val="28"/>
          <w:szCs w:val="28"/>
        </w:rPr>
      </w:pPr>
      <w:r>
        <w:rPr>
          <w:bCs/>
          <w:i/>
          <w:iCs/>
          <w:sz w:val="28"/>
          <w:szCs w:val="28"/>
        </w:rPr>
        <w:t>Таблица 20. Расходы бюджета по отдельным статьям на душу населения по Топкинскому муниципальному округу (тысяч рублей)</w:t>
      </w:r>
    </w:p>
    <w:tbl>
      <w:tblPr>
        <w:tblW w:w="9267" w:type="dxa"/>
        <w:jc w:val="left"/>
        <w:tblInd w:w="-59" w:type="dxa"/>
        <w:tblLayout w:type="fixed"/>
        <w:tblCellMar>
          <w:top w:w="0" w:type="dxa"/>
          <w:left w:w="57" w:type="dxa"/>
          <w:bottom w:w="0" w:type="dxa"/>
          <w:right w:w="57" w:type="dxa"/>
        </w:tblCellMar>
      </w:tblPr>
      <w:tblGrid>
        <w:gridCol w:w="1028"/>
        <w:gridCol w:w="1028"/>
        <w:gridCol w:w="1030"/>
        <w:gridCol w:w="1028"/>
        <w:gridCol w:w="1029"/>
        <w:gridCol w:w="1031"/>
        <w:gridCol w:w="1029"/>
        <w:gridCol w:w="1029"/>
        <w:gridCol w:w="1029"/>
        <w:gridCol w:w="6"/>
      </w:tblGrid>
      <w:tr>
        <w:trPr>
          <w:trHeight w:val="380" w:hRule="atLeast"/>
        </w:trPr>
        <w:tc>
          <w:tcPr>
            <w:tcW w:w="3086" w:type="dxa"/>
            <w:gridSpan w:val="3"/>
            <w:tcBorders>
              <w:top w:val="double" w:sz="4" w:space="0" w:color="000000"/>
              <w:left w:val="single" w:sz="2" w:space="0" w:color="000000"/>
              <w:bottom w:val="single" w:sz="4" w:space="0" w:color="000000"/>
              <w:right w:val="single" w:sz="2" w:space="0" w:color="000000"/>
            </w:tcBorders>
            <w:vAlign w:val="bottom"/>
          </w:tcPr>
          <w:p>
            <w:pPr>
              <w:pStyle w:val="Default"/>
              <w:shd w:fill="FFFFFF" w:val="clear"/>
              <w:spacing w:lineRule="auto" w:line="264" w:before="70" w:after="0"/>
              <w:jc w:val="center"/>
              <w:rPr/>
            </w:pPr>
            <w:r>
              <w:rPr/>
              <w:t>ЖКХ</w:t>
            </w:r>
          </w:p>
        </w:tc>
        <w:tc>
          <w:tcPr>
            <w:tcW w:w="3088" w:type="dxa"/>
            <w:gridSpan w:val="3"/>
            <w:tcBorders>
              <w:top w:val="double" w:sz="4" w:space="0" w:color="000000"/>
              <w:left w:val="single" w:sz="2" w:space="0" w:color="000000"/>
              <w:bottom w:val="single" w:sz="2" w:space="0" w:color="000000"/>
              <w:right w:val="single" w:sz="2" w:space="0" w:color="000000"/>
            </w:tcBorders>
            <w:vAlign w:val="bottom"/>
          </w:tcPr>
          <w:p>
            <w:pPr>
              <w:pStyle w:val="Default"/>
              <w:shd w:fill="FFFFFF" w:val="clear"/>
              <w:spacing w:lineRule="auto" w:line="264" w:before="70" w:after="0"/>
              <w:jc w:val="center"/>
              <w:rPr/>
            </w:pPr>
            <w:r>
              <w:rPr/>
              <w:t>Образование</w:t>
            </w:r>
          </w:p>
        </w:tc>
        <w:tc>
          <w:tcPr>
            <w:tcW w:w="3093" w:type="dxa"/>
            <w:gridSpan w:val="3"/>
            <w:tcBorders>
              <w:top w:val="double" w:sz="4" w:space="0" w:color="000000"/>
              <w:left w:val="single" w:sz="2" w:space="0" w:color="000000"/>
              <w:bottom w:val="single" w:sz="2" w:space="0" w:color="000000"/>
              <w:right w:val="double" w:sz="4" w:space="0" w:color="000000"/>
            </w:tcBorders>
            <w:vAlign w:val="bottom"/>
          </w:tcPr>
          <w:p>
            <w:pPr>
              <w:pStyle w:val="Default"/>
              <w:shd w:fill="FFFFFF" w:val="clear"/>
              <w:spacing w:lineRule="auto" w:line="264" w:before="70" w:after="0"/>
              <w:jc w:val="center"/>
              <w:rPr/>
            </w:pPr>
            <w:r>
              <w:rPr/>
              <w:t>Социальная политика</w:t>
            </w:r>
          </w:p>
        </w:tc>
      </w:tr>
      <w:tr>
        <w:trPr>
          <w:trHeight w:val="493" w:hRule="atLeast"/>
        </w:trPr>
        <w:tc>
          <w:tcPr>
            <w:tcW w:w="1028" w:type="dxa"/>
            <w:tcBorders>
              <w:top w:val="single" w:sz="4" w:space="0" w:color="000000"/>
              <w:left w:val="single" w:sz="2" w:space="0" w:color="000000"/>
              <w:bottom w:val="single" w:sz="2"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2020</w:t>
            </w:r>
          </w:p>
        </w:tc>
        <w:tc>
          <w:tcPr>
            <w:tcW w:w="1028" w:type="dxa"/>
            <w:tcBorders>
              <w:top w:val="single" w:sz="4" w:space="0" w:color="000000"/>
              <w:left w:val="single" w:sz="2" w:space="0" w:color="000000"/>
              <w:bottom w:val="single" w:sz="2"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2021</w:t>
            </w:r>
          </w:p>
        </w:tc>
        <w:tc>
          <w:tcPr>
            <w:tcW w:w="1030" w:type="dxa"/>
            <w:tcBorders>
              <w:top w:val="single" w:sz="4" w:space="0" w:color="000000"/>
              <w:left w:val="single" w:sz="2" w:space="0" w:color="000000"/>
              <w:bottom w:val="single" w:sz="2" w:space="0" w:color="000000"/>
              <w:right w:val="single" w:sz="2" w:space="0" w:color="000000"/>
            </w:tcBorders>
          </w:tcPr>
          <w:p>
            <w:pPr>
              <w:pStyle w:val="Normal"/>
              <w:shd w:fill="FFFFFF" w:val="clear"/>
              <w:spacing w:lineRule="auto" w:line="264" w:before="70" w:after="0"/>
              <w:ind w:left="-113" w:right="-113" w:hanging="0"/>
              <w:jc w:val="center"/>
              <w:rPr>
                <w:sz w:val="24"/>
                <w:szCs w:val="24"/>
              </w:rPr>
            </w:pPr>
            <w:r>
              <w:rPr>
                <w:sz w:val="24"/>
                <w:szCs w:val="24"/>
              </w:rPr>
              <w:t>2022</w:t>
            </w:r>
          </w:p>
        </w:tc>
        <w:tc>
          <w:tcPr>
            <w:tcW w:w="1028" w:type="dxa"/>
            <w:tcBorders>
              <w:top w:val="single" w:sz="2" w:space="0" w:color="000000"/>
              <w:left w:val="single" w:sz="2" w:space="0" w:color="000000"/>
              <w:bottom w:val="single" w:sz="2"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2020</w:t>
            </w:r>
          </w:p>
        </w:tc>
        <w:tc>
          <w:tcPr>
            <w:tcW w:w="1029" w:type="dxa"/>
            <w:tcBorders>
              <w:top w:val="single" w:sz="2" w:space="0" w:color="000000"/>
              <w:left w:val="single" w:sz="2" w:space="0" w:color="000000"/>
              <w:bottom w:val="single" w:sz="2"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2021</w:t>
            </w:r>
          </w:p>
        </w:tc>
        <w:tc>
          <w:tcPr>
            <w:tcW w:w="1031" w:type="dxa"/>
            <w:tcBorders>
              <w:top w:val="single" w:sz="2" w:space="0" w:color="000000"/>
              <w:left w:val="single" w:sz="2" w:space="0" w:color="000000"/>
              <w:bottom w:val="single" w:sz="2" w:space="0" w:color="000000"/>
              <w:right w:val="single" w:sz="2" w:space="0" w:color="000000"/>
            </w:tcBorders>
          </w:tcPr>
          <w:p>
            <w:pPr>
              <w:pStyle w:val="Normal"/>
              <w:shd w:fill="FFFFFF" w:val="clear"/>
              <w:spacing w:lineRule="auto" w:line="264" w:before="70" w:after="0"/>
              <w:ind w:left="-113" w:right="-113" w:hanging="0"/>
              <w:jc w:val="center"/>
              <w:rPr>
                <w:sz w:val="24"/>
                <w:szCs w:val="24"/>
              </w:rPr>
            </w:pPr>
            <w:r>
              <w:rPr>
                <w:sz w:val="24"/>
                <w:szCs w:val="24"/>
              </w:rPr>
              <w:t>2022</w:t>
            </w:r>
          </w:p>
        </w:tc>
        <w:tc>
          <w:tcPr>
            <w:tcW w:w="1029" w:type="dxa"/>
            <w:tcBorders>
              <w:top w:val="single" w:sz="2" w:space="0" w:color="000000"/>
              <w:left w:val="single" w:sz="2" w:space="0" w:color="000000"/>
              <w:bottom w:val="single" w:sz="4"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2020</w:t>
            </w:r>
          </w:p>
        </w:tc>
        <w:tc>
          <w:tcPr>
            <w:tcW w:w="1029" w:type="dxa"/>
            <w:tcBorders>
              <w:top w:val="single" w:sz="2" w:space="0" w:color="000000"/>
              <w:left w:val="single" w:sz="2" w:space="0" w:color="000000"/>
              <w:bottom w:val="single" w:sz="4"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2021</w:t>
            </w:r>
          </w:p>
        </w:tc>
        <w:tc>
          <w:tcPr>
            <w:tcW w:w="1029" w:type="dxa"/>
            <w:tcBorders>
              <w:top w:val="single" w:sz="2" w:space="0" w:color="000000"/>
              <w:left w:val="single" w:sz="2" w:space="0" w:color="000000"/>
              <w:bottom w:val="single" w:sz="4" w:space="0" w:color="000000"/>
              <w:right w:val="double" w:sz="4" w:space="0" w:color="000000"/>
            </w:tcBorders>
          </w:tcPr>
          <w:p>
            <w:pPr>
              <w:pStyle w:val="Normal"/>
              <w:shd w:fill="FFFFFF" w:val="clear"/>
              <w:spacing w:lineRule="auto" w:line="264" w:before="70" w:after="0"/>
              <w:ind w:left="-113" w:right="-113" w:hanging="0"/>
              <w:jc w:val="center"/>
              <w:rPr>
                <w:sz w:val="24"/>
                <w:szCs w:val="24"/>
              </w:rPr>
            </w:pPr>
            <w:r>
              <w:rPr>
                <w:sz w:val="24"/>
                <w:szCs w:val="24"/>
              </w:rPr>
              <w:t>2022</w:t>
            </w:r>
          </w:p>
        </w:tc>
      </w:tr>
      <w:tr>
        <w:trPr>
          <w:trHeight w:val="364" w:hRule="atLeast"/>
        </w:trPr>
        <w:tc>
          <w:tcPr>
            <w:tcW w:w="1028" w:type="dxa"/>
            <w:tcBorders>
              <w:top w:val="dotted" w:sz="4" w:space="0" w:color="000000"/>
              <w:left w:val="dotted" w:sz="4" w:space="0" w:color="000000"/>
              <w:bottom w:val="dotted" w:sz="4" w:space="0" w:color="000000"/>
              <w:right w:val="dotted" w:sz="4" w:space="0" w:color="000000"/>
            </w:tcBorders>
            <w:vAlign w:val="center"/>
          </w:tcPr>
          <w:p>
            <w:pPr>
              <w:pStyle w:val="Normal"/>
              <w:shd w:fill="FFFFFF" w:val="clear"/>
              <w:tabs>
                <w:tab w:val="clear" w:pos="708"/>
                <w:tab w:val="decimal" w:pos="539" w:leader="none"/>
              </w:tabs>
              <w:spacing w:lineRule="auto" w:line="264" w:before="70" w:after="0"/>
              <w:rPr>
                <w:color w:val="000000"/>
                <w:sz w:val="24"/>
                <w:szCs w:val="24"/>
              </w:rPr>
            </w:pPr>
            <w:r>
              <w:rPr>
                <w:color w:val="000000"/>
                <w:sz w:val="24"/>
                <w:szCs w:val="24"/>
              </w:rPr>
              <w:t>7,7</w:t>
            </w:r>
          </w:p>
        </w:tc>
        <w:tc>
          <w:tcPr>
            <w:tcW w:w="1028" w:type="dxa"/>
            <w:tcBorders>
              <w:top w:val="dotted" w:sz="4" w:space="0" w:color="000000"/>
              <w:left w:val="dotted" w:sz="4" w:space="0" w:color="000000"/>
              <w:bottom w:val="dotted" w:sz="4" w:space="0" w:color="000000"/>
              <w:right w:val="dotted" w:sz="4" w:space="0" w:color="000000"/>
            </w:tcBorders>
            <w:vAlign w:val="center"/>
          </w:tcPr>
          <w:p>
            <w:pPr>
              <w:pStyle w:val="Normal"/>
              <w:shd w:fill="FFFFFF" w:val="clear"/>
              <w:tabs>
                <w:tab w:val="clear" w:pos="708"/>
                <w:tab w:val="decimal" w:pos="539" w:leader="none"/>
              </w:tabs>
              <w:spacing w:lineRule="auto" w:line="264" w:before="70" w:after="0"/>
              <w:rPr>
                <w:color w:val="000000"/>
                <w:sz w:val="24"/>
                <w:szCs w:val="24"/>
              </w:rPr>
            </w:pPr>
            <w:r>
              <w:rPr>
                <w:color w:val="000000"/>
                <w:sz w:val="24"/>
                <w:szCs w:val="24"/>
              </w:rPr>
              <w:t>10,7</w:t>
            </w:r>
          </w:p>
        </w:tc>
        <w:tc>
          <w:tcPr>
            <w:tcW w:w="1030" w:type="dxa"/>
            <w:tcBorders>
              <w:top w:val="dotted" w:sz="4" w:space="0" w:color="000000"/>
              <w:left w:val="dotted" w:sz="4" w:space="0" w:color="000000"/>
              <w:bottom w:val="dotted" w:sz="4" w:space="0" w:color="000000"/>
              <w:right w:val="dotted" w:sz="4" w:space="0" w:color="000000"/>
            </w:tcBorders>
            <w:vAlign w:val="center"/>
          </w:tcPr>
          <w:p>
            <w:pPr>
              <w:pStyle w:val="Normal"/>
              <w:shd w:fill="FFFFFF" w:val="clear"/>
              <w:tabs>
                <w:tab w:val="clear" w:pos="708"/>
                <w:tab w:val="decimal" w:pos="449" w:leader="none"/>
              </w:tabs>
              <w:spacing w:lineRule="auto" w:line="264" w:before="70" w:after="0"/>
              <w:rPr>
                <w:color w:val="000000"/>
                <w:sz w:val="24"/>
                <w:szCs w:val="24"/>
              </w:rPr>
            </w:pPr>
            <w:r>
              <w:rPr>
                <w:color w:val="000000"/>
                <w:sz w:val="24"/>
                <w:szCs w:val="24"/>
              </w:rPr>
              <w:t>13,5</w:t>
            </w:r>
          </w:p>
        </w:tc>
        <w:tc>
          <w:tcPr>
            <w:tcW w:w="1028"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color w:val="000000"/>
                <w:sz w:val="24"/>
                <w:szCs w:val="24"/>
              </w:rPr>
            </w:pPr>
            <w:r>
              <w:rPr>
                <w:color w:val="000000"/>
                <w:sz w:val="24"/>
                <w:szCs w:val="24"/>
              </w:rPr>
              <w:t>21,8</w:t>
            </w:r>
          </w:p>
        </w:tc>
        <w:tc>
          <w:tcPr>
            <w:tcW w:w="1029"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color w:val="000000"/>
                <w:sz w:val="24"/>
                <w:szCs w:val="24"/>
              </w:rPr>
            </w:pPr>
            <w:r>
              <w:rPr>
                <w:color w:val="000000"/>
                <w:sz w:val="24"/>
                <w:szCs w:val="24"/>
              </w:rPr>
              <w:t>19,6</w:t>
            </w:r>
          </w:p>
        </w:tc>
        <w:tc>
          <w:tcPr>
            <w:tcW w:w="1031"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color w:val="000000"/>
                <w:sz w:val="24"/>
                <w:szCs w:val="24"/>
              </w:rPr>
            </w:pPr>
            <w:r>
              <w:rPr>
                <w:color w:val="000000"/>
                <w:sz w:val="24"/>
                <w:szCs w:val="24"/>
              </w:rPr>
              <w:t>25,8</w:t>
            </w:r>
          </w:p>
        </w:tc>
        <w:tc>
          <w:tcPr>
            <w:tcW w:w="1029"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494" w:leader="none"/>
              </w:tabs>
              <w:spacing w:lineRule="auto" w:line="264" w:before="70" w:after="0"/>
              <w:rPr>
                <w:color w:val="000000"/>
                <w:sz w:val="24"/>
                <w:szCs w:val="24"/>
              </w:rPr>
            </w:pPr>
            <w:r>
              <w:rPr>
                <w:color w:val="000000"/>
                <w:sz w:val="24"/>
                <w:szCs w:val="24"/>
              </w:rPr>
              <w:t>6,2</w:t>
            </w:r>
          </w:p>
        </w:tc>
        <w:tc>
          <w:tcPr>
            <w:tcW w:w="1029"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494" w:leader="none"/>
              </w:tabs>
              <w:spacing w:lineRule="auto" w:line="264" w:before="70" w:after="0"/>
              <w:rPr>
                <w:color w:val="000000"/>
                <w:sz w:val="24"/>
                <w:szCs w:val="24"/>
              </w:rPr>
            </w:pPr>
            <w:r>
              <w:rPr>
                <w:color w:val="000000"/>
                <w:sz w:val="24"/>
                <w:szCs w:val="24"/>
              </w:rPr>
              <w:t>5,0</w:t>
            </w:r>
          </w:p>
        </w:tc>
        <w:tc>
          <w:tcPr>
            <w:tcW w:w="1029" w:type="dxa"/>
            <w:tcBorders>
              <w:top w:val="dotted" w:sz="4" w:space="0" w:color="000000"/>
              <w:left w:val="dotted" w:sz="4" w:space="0" w:color="000000"/>
              <w:bottom w:val="dotted" w:sz="4" w:space="0" w:color="000000"/>
              <w:right w:val="double" w:sz="4" w:space="0" w:color="000000"/>
            </w:tcBorders>
            <w:vAlign w:val="center"/>
          </w:tcPr>
          <w:p>
            <w:pPr>
              <w:pStyle w:val="Normal"/>
              <w:tabs>
                <w:tab w:val="clear" w:pos="708"/>
                <w:tab w:val="decimal" w:pos="494" w:leader="none"/>
              </w:tabs>
              <w:spacing w:lineRule="auto" w:line="264" w:before="70" w:after="0"/>
              <w:rPr>
                <w:color w:val="000000"/>
                <w:sz w:val="24"/>
                <w:szCs w:val="24"/>
              </w:rPr>
            </w:pPr>
            <w:r>
              <w:rPr>
                <w:color w:val="000000"/>
                <w:sz w:val="24"/>
                <w:szCs w:val="24"/>
              </w:rPr>
              <w:t>5,3</w:t>
            </w:r>
          </w:p>
        </w:tc>
      </w:tr>
    </w:tbl>
    <w:p>
      <w:pPr>
        <w:pStyle w:val="Normal"/>
        <w:shd w:fill="FFFFFF" w:val="clear"/>
        <w:ind w:firstLine="720"/>
        <w:jc w:val="both"/>
        <w:rPr>
          <w:bCs/>
          <w:i/>
          <w:i/>
          <w:iCs/>
          <w:sz w:val="28"/>
          <w:szCs w:val="28"/>
        </w:rPr>
      </w:pPr>
      <w:r>
        <w:rPr>
          <w:bCs/>
          <w:i/>
          <w:iCs/>
          <w:sz w:val="28"/>
          <w:szCs w:val="28"/>
        </w:rPr>
      </w:r>
    </w:p>
    <w:p>
      <w:pPr>
        <w:pStyle w:val="Normal"/>
        <w:shd w:fill="FFFFFF" w:val="clear"/>
        <w:ind w:firstLine="720"/>
        <w:jc w:val="both"/>
        <w:rPr>
          <w:bCs/>
          <w:sz w:val="28"/>
          <w:szCs w:val="28"/>
        </w:rPr>
      </w:pPr>
      <w:r>
        <w:rPr>
          <w:bCs/>
          <w:sz w:val="28"/>
          <w:szCs w:val="28"/>
        </w:rPr>
        <w:t>Расходы бюджета Топкинского муниципального округа на развитие жилищно-коммунального хозяйства за три года возросли практически в два раза. Средства направлены на улучшения состояния коммуникаций, дорог, условий жизни населения округа.</w:t>
      </w:r>
    </w:p>
    <w:p>
      <w:pPr>
        <w:pStyle w:val="Normal"/>
        <w:shd w:fill="FFFFFF" w:val="clear"/>
        <w:ind w:firstLine="720"/>
        <w:jc w:val="both"/>
        <w:rPr>
          <w:bCs/>
          <w:sz w:val="28"/>
          <w:szCs w:val="28"/>
        </w:rPr>
      </w:pPr>
      <w:r>
        <w:rPr>
          <w:bCs/>
          <w:sz w:val="28"/>
          <w:szCs w:val="28"/>
        </w:rPr>
      </w:r>
    </w:p>
    <w:p>
      <w:pPr>
        <w:pStyle w:val="Normal"/>
        <w:shd w:fill="FFFFFF" w:val="clear"/>
        <w:ind w:firstLine="720"/>
        <w:jc w:val="both"/>
        <w:rPr>
          <w:bCs/>
          <w:i/>
          <w:i/>
          <w:iCs/>
          <w:sz w:val="28"/>
          <w:szCs w:val="28"/>
        </w:rPr>
      </w:pPr>
      <w:r>
        <w:rPr>
          <w:bCs/>
          <w:i/>
          <w:iCs/>
          <w:sz w:val="28"/>
          <w:szCs w:val="28"/>
        </w:rPr>
        <w:t>Таблица 21. Среднегодовая численность работников организаций Топкинского муниципального округа (тыс. человек)</w:t>
      </w:r>
    </w:p>
    <w:tbl>
      <w:tblPr>
        <w:tblW w:w="9052" w:type="dxa"/>
        <w:jc w:val="center"/>
        <w:tblInd w:w="0" w:type="dxa"/>
        <w:tblLayout w:type="fixed"/>
        <w:tblCellMar>
          <w:top w:w="0" w:type="dxa"/>
          <w:left w:w="108" w:type="dxa"/>
          <w:bottom w:w="0" w:type="dxa"/>
          <w:right w:w="108" w:type="dxa"/>
        </w:tblCellMar>
      </w:tblPr>
      <w:tblGrid>
        <w:gridCol w:w="3013"/>
        <w:gridCol w:w="2013"/>
        <w:gridCol w:w="2016"/>
        <w:gridCol w:w="2010"/>
      </w:tblGrid>
      <w:tr>
        <w:trPr>
          <w:trHeight w:val="295" w:hRule="atLeast"/>
        </w:trPr>
        <w:tc>
          <w:tcPr>
            <w:tcW w:w="3013" w:type="dxa"/>
            <w:tcBorders>
              <w:top w:val="single" w:sz="4" w:space="0" w:color="000000"/>
              <w:left w:val="single" w:sz="4" w:space="0" w:color="000000"/>
              <w:bottom w:val="single" w:sz="4" w:space="0" w:color="000000"/>
              <w:right w:val="single" w:sz="4" w:space="0" w:color="000000"/>
            </w:tcBorders>
            <w:shd w:fill="FFFFFF" w:val="clear"/>
          </w:tcPr>
          <w:p>
            <w:pPr>
              <w:pStyle w:val="Normal"/>
              <w:snapToGrid w:val="false"/>
              <w:spacing w:before="0" w:after="0"/>
              <w:contextualSpacing/>
              <w:rPr>
                <w:rFonts w:eastAsia="Calibri"/>
                <w:sz w:val="24"/>
                <w:szCs w:val="24"/>
                <w:shd w:fill="FF0000" w:val="clear"/>
              </w:rPr>
            </w:pPr>
            <w:r>
              <w:rPr>
                <w:rFonts w:eastAsia="Calibri"/>
                <w:sz w:val="24"/>
                <w:szCs w:val="24"/>
                <w:shd w:fill="FF0000" w:val="clear"/>
              </w:rPr>
            </w:r>
          </w:p>
        </w:tc>
        <w:tc>
          <w:tcPr>
            <w:tcW w:w="2013"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2020 год</w:t>
            </w:r>
          </w:p>
          <w:p>
            <w:pPr>
              <w:pStyle w:val="Normal"/>
              <w:spacing w:before="0" w:after="0"/>
              <w:contextualSpacing/>
              <w:jc w:val="center"/>
              <w:rPr>
                <w:rFonts w:eastAsia="Calibri"/>
                <w:sz w:val="24"/>
                <w:szCs w:val="24"/>
                <w:shd w:fill="FFFFFF" w:val="clear"/>
              </w:rPr>
            </w:pPr>
            <w:r>
              <w:rPr>
                <w:rFonts w:eastAsia="Calibri"/>
                <w:sz w:val="24"/>
                <w:szCs w:val="24"/>
                <w:shd w:fill="FFFFFF" w:val="clear"/>
              </w:rPr>
            </w:r>
          </w:p>
        </w:tc>
        <w:tc>
          <w:tcPr>
            <w:tcW w:w="2016"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 xml:space="preserve">2021 год </w:t>
            </w:r>
          </w:p>
        </w:tc>
        <w:tc>
          <w:tcPr>
            <w:tcW w:w="201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2022 год</w:t>
            </w:r>
          </w:p>
          <w:p>
            <w:pPr>
              <w:pStyle w:val="Normal"/>
              <w:spacing w:before="0" w:after="0"/>
              <w:contextualSpacing/>
              <w:jc w:val="center"/>
              <w:rPr>
                <w:rFonts w:eastAsia="Calibri"/>
                <w:sz w:val="24"/>
                <w:szCs w:val="24"/>
                <w:shd w:fill="FFFFFF" w:val="clear"/>
              </w:rPr>
            </w:pPr>
            <w:r>
              <w:rPr>
                <w:rFonts w:eastAsia="Calibri"/>
                <w:sz w:val="24"/>
                <w:szCs w:val="24"/>
                <w:shd w:fill="FFFFFF" w:val="clear"/>
              </w:rPr>
            </w:r>
          </w:p>
        </w:tc>
      </w:tr>
      <w:tr>
        <w:trPr>
          <w:trHeight w:val="901" w:hRule="atLeast"/>
        </w:trPr>
        <w:tc>
          <w:tcPr>
            <w:tcW w:w="3013"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rPr>
                <w:rFonts w:eastAsia="Calibri"/>
                <w:sz w:val="24"/>
                <w:szCs w:val="24"/>
                <w:shd w:fill="FFFFFF" w:val="clear"/>
              </w:rPr>
            </w:pPr>
            <w:r>
              <w:rPr>
                <w:rFonts w:eastAsia="Calibri"/>
                <w:sz w:val="24"/>
                <w:szCs w:val="24"/>
                <w:shd w:fill="FFFFFF" w:val="clear"/>
              </w:rPr>
              <w:t>Топкинский муниципальный округ</w:t>
            </w:r>
          </w:p>
        </w:tc>
        <w:tc>
          <w:tcPr>
            <w:tcW w:w="2013"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8,7</w:t>
            </w:r>
          </w:p>
        </w:tc>
        <w:tc>
          <w:tcPr>
            <w:tcW w:w="2016"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rPr>
            </w:pPr>
            <w:r>
              <w:rPr>
                <w:rFonts w:eastAsia="Calibri"/>
                <w:sz w:val="24"/>
                <w:szCs w:val="24"/>
              </w:rPr>
              <w:t>8,2</w:t>
            </w:r>
          </w:p>
        </w:tc>
        <w:tc>
          <w:tcPr>
            <w:tcW w:w="2010" w:type="dxa"/>
            <w:tcBorders>
              <w:top w:val="single" w:sz="4" w:space="0" w:color="000000"/>
              <w:left w:val="single" w:sz="4" w:space="0" w:color="000000"/>
              <w:bottom w:val="single" w:sz="4" w:space="0" w:color="000000"/>
              <w:right w:val="single" w:sz="4" w:space="0" w:color="000000"/>
            </w:tcBorders>
            <w:shd w:fill="FFFFFF" w:val="clear"/>
          </w:tcPr>
          <w:p>
            <w:pPr>
              <w:pStyle w:val="Normal"/>
              <w:spacing w:before="0" w:after="0"/>
              <w:contextualSpacing/>
              <w:jc w:val="center"/>
              <w:rPr>
                <w:rFonts w:eastAsia="Calibri"/>
                <w:sz w:val="24"/>
                <w:szCs w:val="24"/>
                <w:shd w:fill="FFFFFF" w:val="clear"/>
              </w:rPr>
            </w:pPr>
            <w:r>
              <w:rPr>
                <w:rFonts w:eastAsia="Calibri"/>
                <w:sz w:val="24"/>
                <w:szCs w:val="24"/>
                <w:shd w:fill="FFFFFF" w:val="clear"/>
              </w:rPr>
              <w:t>8,3</w:t>
            </w:r>
          </w:p>
        </w:tc>
      </w:tr>
    </w:tbl>
    <w:p>
      <w:pPr>
        <w:pStyle w:val="Normal"/>
        <w:shd w:fill="FFFFFF" w:val="clear"/>
        <w:ind w:firstLine="720"/>
        <w:jc w:val="both"/>
        <w:rPr>
          <w:bCs/>
          <w:sz w:val="28"/>
          <w:szCs w:val="28"/>
        </w:rPr>
      </w:pPr>
      <w:r>
        <w:rPr>
          <w:bCs/>
          <w:sz w:val="28"/>
          <w:szCs w:val="28"/>
        </w:rPr>
      </w:r>
    </w:p>
    <w:p>
      <w:pPr>
        <w:pStyle w:val="Normal"/>
        <w:shd w:fill="FFFFFF" w:val="clear"/>
        <w:ind w:firstLine="709"/>
        <w:jc w:val="both"/>
        <w:rPr>
          <w:sz w:val="28"/>
          <w:szCs w:val="28"/>
        </w:rPr>
      </w:pPr>
      <w:bookmarkStart w:id="10" w:name="_Hlk35435622"/>
      <w:bookmarkEnd w:id="10"/>
      <w:r>
        <w:rPr>
          <w:sz w:val="28"/>
          <w:szCs w:val="28"/>
        </w:rPr>
        <w:t>По Кемеровской области – Кузбассу отмечается увеличение соотношения среднемесячной номинальной начисленной заработной платы с величиной прожиточного минимума трудоспособного населения за 2020-2022 гг. В Топкинском муниципальном округе средняя заработная плата за последние три года выросла на 24%.</w:t>
      </w:r>
    </w:p>
    <w:p>
      <w:pPr>
        <w:pStyle w:val="Normal"/>
        <w:shd w:fill="FFFFFF" w:val="clear"/>
        <w:ind w:firstLine="709"/>
        <w:jc w:val="both"/>
        <w:rPr>
          <w:sz w:val="28"/>
          <w:szCs w:val="28"/>
        </w:rPr>
      </w:pPr>
      <w:r>
        <w:rPr>
          <w:sz w:val="28"/>
          <w:szCs w:val="28"/>
        </w:rPr>
      </w:r>
    </w:p>
    <w:p>
      <w:pPr>
        <w:pStyle w:val="Normal"/>
        <w:shd w:fill="FFFFFF" w:val="clear"/>
        <w:ind w:firstLine="720"/>
        <w:jc w:val="both"/>
        <w:rPr>
          <w:bCs/>
          <w:i/>
          <w:i/>
          <w:iCs/>
          <w:sz w:val="28"/>
          <w:szCs w:val="28"/>
        </w:rPr>
      </w:pPr>
      <w:r>
        <w:rPr>
          <w:bCs/>
          <w:i/>
          <w:iCs/>
          <w:sz w:val="28"/>
          <w:szCs w:val="28"/>
        </w:rPr>
        <w:t>Таблица 22. Среднемесячная заработная плата работников организаций Топкинского муниципального округа (рублей)</w:t>
      </w:r>
    </w:p>
    <w:tbl>
      <w:tblPr>
        <w:tblW w:w="9081" w:type="dxa"/>
        <w:jc w:val="left"/>
        <w:tblInd w:w="-85" w:type="dxa"/>
        <w:tblLayout w:type="fixed"/>
        <w:tblCellMar>
          <w:top w:w="0" w:type="dxa"/>
          <w:left w:w="70" w:type="dxa"/>
          <w:bottom w:w="0" w:type="dxa"/>
          <w:right w:w="70" w:type="dxa"/>
        </w:tblCellMar>
      </w:tblPr>
      <w:tblGrid>
        <w:gridCol w:w="3288"/>
        <w:gridCol w:w="1360"/>
        <w:gridCol w:w="1360"/>
        <w:gridCol w:w="1360"/>
        <w:gridCol w:w="1713"/>
      </w:tblGrid>
      <w:tr>
        <w:trPr>
          <w:trHeight w:val="1672" w:hRule="atLeast"/>
        </w:trPr>
        <w:tc>
          <w:tcPr>
            <w:tcW w:w="3288" w:type="dxa"/>
            <w:tcBorders>
              <w:top w:val="double" w:sz="4" w:space="0" w:color="000000"/>
              <w:left w:val="double" w:sz="4" w:space="0" w:color="000000"/>
              <w:bottom w:val="single" w:sz="4" w:space="0" w:color="000000"/>
              <w:right w:val="single" w:sz="4" w:space="0" w:color="000000"/>
            </w:tcBorders>
          </w:tcPr>
          <w:p>
            <w:pPr>
              <w:pStyle w:val="Normal"/>
              <w:snapToGrid w:val="false"/>
              <w:spacing w:lineRule="exact" w:line="260"/>
              <w:jc w:val="center"/>
              <w:rPr>
                <w:sz w:val="24"/>
                <w:szCs w:val="24"/>
              </w:rPr>
            </w:pPr>
            <w:r>
              <w:rPr>
                <w:sz w:val="24"/>
                <w:szCs w:val="24"/>
              </w:rPr>
            </w:r>
          </w:p>
        </w:tc>
        <w:tc>
          <w:tcPr>
            <w:tcW w:w="1360" w:type="dxa"/>
            <w:tcBorders>
              <w:top w:val="double" w:sz="4" w:space="0" w:color="000000"/>
              <w:left w:val="single" w:sz="4" w:space="0" w:color="000000"/>
              <w:bottom w:val="single" w:sz="4" w:space="0" w:color="000000"/>
              <w:right w:val="single" w:sz="4" w:space="0" w:color="000000"/>
            </w:tcBorders>
          </w:tcPr>
          <w:p>
            <w:pPr>
              <w:pStyle w:val="Normal"/>
              <w:spacing w:lineRule="exact" w:line="260"/>
              <w:jc w:val="center"/>
              <w:rPr>
                <w:sz w:val="24"/>
                <w:szCs w:val="24"/>
              </w:rPr>
            </w:pPr>
            <w:r>
              <w:rPr>
                <w:sz w:val="24"/>
                <w:szCs w:val="24"/>
              </w:rPr>
              <w:t>2020</w:t>
            </w:r>
          </w:p>
        </w:tc>
        <w:tc>
          <w:tcPr>
            <w:tcW w:w="1360" w:type="dxa"/>
            <w:tcBorders>
              <w:top w:val="double" w:sz="4" w:space="0" w:color="000000"/>
              <w:left w:val="single" w:sz="4" w:space="0" w:color="000000"/>
              <w:bottom w:val="single" w:sz="4" w:space="0" w:color="000000"/>
              <w:right w:val="single" w:sz="4" w:space="0" w:color="000000"/>
            </w:tcBorders>
          </w:tcPr>
          <w:p>
            <w:pPr>
              <w:pStyle w:val="Normal"/>
              <w:spacing w:lineRule="exact" w:line="260"/>
              <w:jc w:val="center"/>
              <w:rPr>
                <w:sz w:val="24"/>
                <w:szCs w:val="24"/>
              </w:rPr>
            </w:pPr>
            <w:r>
              <w:rPr>
                <w:sz w:val="24"/>
                <w:szCs w:val="24"/>
              </w:rPr>
              <w:t>2021</w:t>
            </w:r>
          </w:p>
        </w:tc>
        <w:tc>
          <w:tcPr>
            <w:tcW w:w="1360" w:type="dxa"/>
            <w:tcBorders>
              <w:top w:val="double" w:sz="4" w:space="0" w:color="000000"/>
              <w:left w:val="single" w:sz="4" w:space="0" w:color="000000"/>
              <w:bottom w:val="single" w:sz="4" w:space="0" w:color="000000"/>
              <w:right w:val="single" w:sz="4" w:space="0" w:color="000000"/>
            </w:tcBorders>
          </w:tcPr>
          <w:p>
            <w:pPr>
              <w:pStyle w:val="Normal"/>
              <w:spacing w:lineRule="exact" w:line="260"/>
              <w:jc w:val="center"/>
              <w:rPr>
                <w:sz w:val="24"/>
                <w:szCs w:val="24"/>
              </w:rPr>
            </w:pPr>
            <w:r>
              <w:rPr>
                <w:sz w:val="24"/>
                <w:szCs w:val="24"/>
              </w:rPr>
              <w:t>2022</w:t>
            </w:r>
          </w:p>
        </w:tc>
        <w:tc>
          <w:tcPr>
            <w:tcW w:w="1713" w:type="dxa"/>
            <w:tcBorders>
              <w:top w:val="double" w:sz="4" w:space="0" w:color="000000"/>
              <w:left w:val="single" w:sz="4" w:space="0" w:color="000000"/>
              <w:bottom w:val="single" w:sz="4" w:space="0" w:color="000000"/>
              <w:right w:val="single" w:sz="4" w:space="0" w:color="000000"/>
            </w:tcBorders>
          </w:tcPr>
          <w:p>
            <w:pPr>
              <w:pStyle w:val="Normal"/>
              <w:spacing w:lineRule="exact" w:line="260"/>
              <w:jc w:val="center"/>
              <w:rPr>
                <w:sz w:val="24"/>
                <w:szCs w:val="24"/>
              </w:rPr>
            </w:pPr>
            <w:r>
              <w:rPr>
                <w:sz w:val="24"/>
                <w:szCs w:val="24"/>
              </w:rPr>
              <w:t>В % к</w:t>
            </w:r>
          </w:p>
          <w:p>
            <w:pPr>
              <w:pStyle w:val="Normal"/>
              <w:spacing w:lineRule="exact" w:line="260"/>
              <w:jc w:val="center"/>
              <w:rPr>
                <w:sz w:val="24"/>
                <w:szCs w:val="24"/>
              </w:rPr>
            </w:pPr>
            <w:r>
              <w:rPr>
                <w:sz w:val="24"/>
                <w:szCs w:val="24"/>
              </w:rPr>
              <w:t>средне-                  областному</w:t>
            </w:r>
          </w:p>
          <w:p>
            <w:pPr>
              <w:pStyle w:val="Normal"/>
              <w:spacing w:lineRule="exact" w:line="260"/>
              <w:jc w:val="center"/>
              <w:rPr>
                <w:sz w:val="24"/>
                <w:szCs w:val="24"/>
              </w:rPr>
            </w:pPr>
            <w:r>
              <w:rPr>
                <w:sz w:val="24"/>
                <w:szCs w:val="24"/>
              </w:rPr>
              <w:t>уровню</w:t>
            </w:r>
          </w:p>
          <w:p>
            <w:pPr>
              <w:pStyle w:val="Normal"/>
              <w:spacing w:lineRule="exact" w:line="260"/>
              <w:jc w:val="center"/>
              <w:rPr>
                <w:sz w:val="24"/>
                <w:szCs w:val="24"/>
              </w:rPr>
            </w:pPr>
            <w:r>
              <w:rPr>
                <w:sz w:val="24"/>
                <w:szCs w:val="24"/>
              </w:rPr>
              <w:t>2022</w:t>
            </w:r>
          </w:p>
        </w:tc>
      </w:tr>
      <w:tr>
        <w:trPr>
          <w:trHeight w:val="836" w:hRule="atLeast"/>
        </w:trPr>
        <w:tc>
          <w:tcPr>
            <w:tcW w:w="3288"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60"/>
              <w:rPr>
                <w:bCs/>
                <w:sz w:val="24"/>
                <w:szCs w:val="24"/>
              </w:rPr>
            </w:pPr>
            <w:r>
              <w:rPr>
                <w:bCs/>
                <w:sz w:val="24"/>
                <w:szCs w:val="24"/>
              </w:rPr>
              <w:t xml:space="preserve">Кемеровская область – </w:t>
            </w:r>
          </w:p>
          <w:p>
            <w:pPr>
              <w:pStyle w:val="Normal"/>
              <w:spacing w:lineRule="exact" w:line="260"/>
              <w:rPr>
                <w:bCs/>
                <w:sz w:val="24"/>
                <w:szCs w:val="24"/>
              </w:rPr>
            </w:pPr>
            <w:r>
              <w:rPr>
                <w:bCs/>
                <w:sz w:val="24"/>
                <w:szCs w:val="24"/>
              </w:rPr>
              <w:t xml:space="preserve"> </w:t>
            </w:r>
            <w:r>
              <w:rPr>
                <w:bCs/>
                <w:sz w:val="24"/>
                <w:szCs w:val="24"/>
              </w:rPr>
              <w:t>Кузбасс</w:t>
            </w:r>
          </w:p>
        </w:tc>
        <w:tc>
          <w:tcPr>
            <w:tcW w:w="1360"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653" w:leader="none"/>
              </w:tabs>
              <w:spacing w:lineRule="exact" w:line="260"/>
              <w:rPr>
                <w:sz w:val="24"/>
                <w:szCs w:val="24"/>
              </w:rPr>
            </w:pPr>
            <w:r>
              <w:rPr>
                <w:sz w:val="24"/>
                <w:szCs w:val="24"/>
              </w:rPr>
              <w:t>43429</w:t>
            </w:r>
          </w:p>
        </w:tc>
        <w:tc>
          <w:tcPr>
            <w:tcW w:w="1360"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653" w:leader="none"/>
              </w:tabs>
              <w:spacing w:lineRule="exact" w:line="260"/>
              <w:rPr>
                <w:sz w:val="24"/>
                <w:szCs w:val="24"/>
              </w:rPr>
            </w:pPr>
            <w:r>
              <w:rPr>
                <w:sz w:val="24"/>
                <w:szCs w:val="24"/>
              </w:rPr>
              <w:t>48313</w:t>
            </w:r>
          </w:p>
        </w:tc>
        <w:tc>
          <w:tcPr>
            <w:tcW w:w="1360"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653" w:leader="none"/>
              </w:tabs>
              <w:spacing w:lineRule="exact" w:line="260"/>
              <w:rPr>
                <w:sz w:val="24"/>
                <w:szCs w:val="24"/>
              </w:rPr>
            </w:pPr>
            <w:r>
              <w:rPr>
                <w:sz w:val="24"/>
                <w:szCs w:val="24"/>
              </w:rPr>
              <w:t>57653</w:t>
            </w:r>
          </w:p>
        </w:tc>
        <w:tc>
          <w:tcPr>
            <w:tcW w:w="1713"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685" w:leader="none"/>
              </w:tabs>
              <w:spacing w:lineRule="exact" w:line="260"/>
              <w:rPr>
                <w:sz w:val="24"/>
                <w:szCs w:val="24"/>
                <w:lang w:val="en-US"/>
              </w:rPr>
            </w:pPr>
            <w:r>
              <w:rPr>
                <w:sz w:val="24"/>
                <w:szCs w:val="24"/>
                <w:lang w:val="en-US"/>
              </w:rPr>
              <w:t>100</w:t>
            </w:r>
          </w:p>
        </w:tc>
      </w:tr>
      <w:tr>
        <w:trPr>
          <w:trHeight w:val="256" w:hRule="atLeast"/>
        </w:trPr>
        <w:tc>
          <w:tcPr>
            <w:tcW w:w="3288"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260"/>
              <w:ind w:left="284" w:hanging="0"/>
              <w:rPr>
                <w:sz w:val="24"/>
                <w:szCs w:val="24"/>
              </w:rPr>
            </w:pPr>
            <w:r>
              <w:rPr>
                <w:sz w:val="24"/>
                <w:szCs w:val="24"/>
              </w:rPr>
              <w:t>Топкинский муниципальный округ</w:t>
            </w:r>
          </w:p>
        </w:tc>
        <w:tc>
          <w:tcPr>
            <w:tcW w:w="1360"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653" w:leader="none"/>
              </w:tabs>
              <w:spacing w:lineRule="exact" w:line="260"/>
              <w:rPr>
                <w:sz w:val="24"/>
                <w:szCs w:val="24"/>
              </w:rPr>
            </w:pPr>
            <w:r>
              <w:rPr>
                <w:sz w:val="24"/>
                <w:szCs w:val="24"/>
              </w:rPr>
              <w:t>36921</w:t>
            </w:r>
          </w:p>
        </w:tc>
        <w:tc>
          <w:tcPr>
            <w:tcW w:w="1360"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653" w:leader="none"/>
              </w:tabs>
              <w:spacing w:lineRule="exact" w:line="260"/>
              <w:rPr>
                <w:sz w:val="24"/>
                <w:szCs w:val="24"/>
              </w:rPr>
            </w:pPr>
            <w:r>
              <w:rPr>
                <w:sz w:val="24"/>
                <w:szCs w:val="24"/>
              </w:rPr>
              <w:t>39955</w:t>
            </w:r>
          </w:p>
        </w:tc>
        <w:tc>
          <w:tcPr>
            <w:tcW w:w="1360"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653" w:leader="none"/>
              </w:tabs>
              <w:spacing w:lineRule="exact" w:line="260"/>
              <w:rPr>
                <w:sz w:val="24"/>
                <w:szCs w:val="24"/>
              </w:rPr>
            </w:pPr>
            <w:r>
              <w:rPr>
                <w:sz w:val="24"/>
                <w:szCs w:val="24"/>
              </w:rPr>
              <w:t>45889</w:t>
            </w:r>
          </w:p>
        </w:tc>
        <w:tc>
          <w:tcPr>
            <w:tcW w:w="1713"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685" w:leader="none"/>
              </w:tabs>
              <w:spacing w:lineRule="exact" w:line="260"/>
              <w:rPr>
                <w:sz w:val="24"/>
                <w:szCs w:val="24"/>
                <w:lang w:val="en-US"/>
              </w:rPr>
            </w:pPr>
            <w:r>
              <w:rPr>
                <w:sz w:val="24"/>
                <w:szCs w:val="24"/>
                <w:lang w:val="en-US"/>
              </w:rPr>
              <w:t>79,6</w:t>
            </w:r>
          </w:p>
        </w:tc>
      </w:tr>
    </w:tbl>
    <w:p>
      <w:pPr>
        <w:pStyle w:val="Normal"/>
        <w:ind w:firstLine="709"/>
        <w:jc w:val="both"/>
        <w:rPr>
          <w:sz w:val="28"/>
          <w:szCs w:val="28"/>
          <w:shd w:fill="FFFFFF" w:val="clear"/>
        </w:rPr>
      </w:pPr>
      <w:r>
        <w:rPr>
          <w:sz w:val="28"/>
          <w:szCs w:val="28"/>
          <w:shd w:fill="FFFFFF" w:val="clear"/>
        </w:rPr>
      </w:r>
    </w:p>
    <w:p>
      <w:pPr>
        <w:pStyle w:val="Normal"/>
        <w:ind w:firstLine="709"/>
        <w:jc w:val="both"/>
        <w:rPr>
          <w:sz w:val="28"/>
          <w:szCs w:val="28"/>
          <w:shd w:fill="FFFFFF" w:val="clear"/>
        </w:rPr>
      </w:pPr>
      <w:r>
        <w:rPr>
          <w:sz w:val="28"/>
          <w:szCs w:val="28"/>
          <w:shd w:fill="FFFFFF" w:val="clear"/>
        </w:rPr>
      </w:r>
    </w:p>
    <w:p>
      <w:pPr>
        <w:pStyle w:val="Normal"/>
        <w:shd w:fill="FFFFFF" w:val="clear"/>
        <w:ind w:firstLine="720"/>
        <w:jc w:val="both"/>
        <w:rPr>
          <w:bCs/>
          <w:i/>
          <w:i/>
          <w:iCs/>
          <w:sz w:val="28"/>
          <w:szCs w:val="28"/>
          <w:shd w:fill="FFFFFF" w:val="clear"/>
        </w:rPr>
      </w:pPr>
      <w:r>
        <w:rPr>
          <w:bCs/>
          <w:i/>
          <w:iCs/>
          <w:sz w:val="28"/>
          <w:szCs w:val="28"/>
          <w:shd w:fill="FFFFFF" w:val="clear"/>
        </w:rPr>
        <w:t>Таблица 23. Численность незанятого населения, состоящего на учёте в органах службы занятости населения</w:t>
      </w:r>
    </w:p>
    <w:tbl>
      <w:tblPr>
        <w:tblW w:w="8997" w:type="dxa"/>
        <w:jc w:val="left"/>
        <w:tblInd w:w="-5" w:type="dxa"/>
        <w:tblLayout w:type="fixed"/>
        <w:tblCellMar>
          <w:top w:w="0" w:type="dxa"/>
          <w:left w:w="57" w:type="dxa"/>
          <w:bottom w:w="0" w:type="dxa"/>
          <w:right w:w="57" w:type="dxa"/>
        </w:tblCellMar>
      </w:tblPr>
      <w:tblGrid>
        <w:gridCol w:w="4503"/>
        <w:gridCol w:w="1498"/>
        <w:gridCol w:w="1498"/>
        <w:gridCol w:w="1498"/>
      </w:tblGrid>
      <w:tr>
        <w:trPr>
          <w:trHeight w:val="441" w:hRule="atLeast"/>
        </w:trPr>
        <w:tc>
          <w:tcPr>
            <w:tcW w:w="4503" w:type="dxa"/>
            <w:tcBorders>
              <w:top w:val="single" w:sz="4" w:space="0" w:color="000000"/>
              <w:left w:val="single" w:sz="4" w:space="0" w:color="000000"/>
              <w:bottom w:val="single" w:sz="4" w:space="0" w:color="000000"/>
              <w:right w:val="single" w:sz="4" w:space="0" w:color="000000"/>
            </w:tcBorders>
            <w:vAlign w:val="center"/>
          </w:tcPr>
          <w:p>
            <w:pPr>
              <w:pStyle w:val="Normal"/>
              <w:shd w:fill="FFFFFF" w:val="clear"/>
              <w:snapToGrid w:val="false"/>
              <w:ind w:hanging="57"/>
              <w:jc w:val="center"/>
              <w:rPr>
                <w:sz w:val="24"/>
                <w:szCs w:val="24"/>
              </w:rPr>
            </w:pPr>
            <w:r>
              <w:rPr>
                <w:sz w:val="24"/>
                <w:szCs w:val="24"/>
              </w:rPr>
            </w:r>
            <w:bookmarkStart w:id="11" w:name="_Hlk35437329"/>
            <w:bookmarkStart w:id="12" w:name="_Hlk35437329"/>
            <w:bookmarkEnd w:id="12"/>
          </w:p>
        </w:tc>
        <w:tc>
          <w:tcPr>
            <w:tcW w:w="1498" w:type="dxa"/>
            <w:tcBorders>
              <w:top w:val="single" w:sz="4" w:space="0" w:color="000000"/>
              <w:left w:val="single" w:sz="4" w:space="0" w:color="000000"/>
              <w:bottom w:val="single" w:sz="4" w:space="0" w:color="000000"/>
              <w:right w:val="single" w:sz="4" w:space="0" w:color="000000"/>
            </w:tcBorders>
            <w:tcMar>
              <w:left w:w="0" w:type="dxa"/>
              <w:right w:w="0" w:type="dxa"/>
            </w:tcMar>
            <w:vAlign w:val="center"/>
          </w:tcPr>
          <w:p>
            <w:pPr>
              <w:pStyle w:val="Normal"/>
              <w:shd w:fill="FFFFFF" w:val="clear"/>
              <w:tabs>
                <w:tab w:val="clear" w:pos="708"/>
                <w:tab w:val="decimal" w:pos="454" w:leader="none"/>
              </w:tabs>
              <w:jc w:val="center"/>
              <w:rPr/>
            </w:pPr>
            <w:r>
              <w:rPr>
                <w:sz w:val="24"/>
                <w:szCs w:val="24"/>
              </w:rPr>
              <w:t>2020</w:t>
            </w:r>
          </w:p>
        </w:tc>
        <w:tc>
          <w:tcPr>
            <w:tcW w:w="1498" w:type="dxa"/>
            <w:tcBorders>
              <w:top w:val="single" w:sz="4" w:space="0" w:color="000000"/>
              <w:left w:val="single" w:sz="4" w:space="0" w:color="000000"/>
              <w:bottom w:val="single" w:sz="4" w:space="0" w:color="000000"/>
              <w:right w:val="single" w:sz="4" w:space="0" w:color="000000"/>
            </w:tcBorders>
            <w:vAlign w:val="center"/>
          </w:tcPr>
          <w:p>
            <w:pPr>
              <w:pStyle w:val="Normal"/>
              <w:shd w:fill="FFFFFF" w:val="clear"/>
              <w:tabs>
                <w:tab w:val="clear" w:pos="708"/>
                <w:tab w:val="decimal" w:pos="454" w:leader="none"/>
              </w:tabs>
              <w:jc w:val="center"/>
              <w:rPr>
                <w:sz w:val="24"/>
                <w:szCs w:val="24"/>
              </w:rPr>
            </w:pPr>
            <w:r>
              <w:rPr>
                <w:sz w:val="24"/>
                <w:szCs w:val="24"/>
              </w:rPr>
              <w:t>2021</w:t>
            </w:r>
          </w:p>
        </w:tc>
        <w:tc>
          <w:tcPr>
            <w:tcW w:w="1498" w:type="dxa"/>
            <w:tcBorders>
              <w:top w:val="single" w:sz="4" w:space="0" w:color="000000"/>
              <w:left w:val="single" w:sz="4" w:space="0" w:color="000000"/>
              <w:bottom w:val="single" w:sz="4" w:space="0" w:color="000000"/>
              <w:right w:val="single" w:sz="4" w:space="0" w:color="000000"/>
            </w:tcBorders>
            <w:vAlign w:val="center"/>
          </w:tcPr>
          <w:p>
            <w:pPr>
              <w:pStyle w:val="Normal"/>
              <w:shd w:fill="FFFFFF" w:val="clear"/>
              <w:tabs>
                <w:tab w:val="clear" w:pos="708"/>
                <w:tab w:val="decimal" w:pos="454" w:leader="none"/>
              </w:tabs>
              <w:jc w:val="center"/>
              <w:rPr>
                <w:sz w:val="24"/>
                <w:szCs w:val="24"/>
              </w:rPr>
            </w:pPr>
            <w:r>
              <w:rPr>
                <w:sz w:val="24"/>
                <w:szCs w:val="24"/>
              </w:rPr>
              <w:t>2022</w:t>
            </w:r>
          </w:p>
        </w:tc>
      </w:tr>
      <w:tr>
        <w:trPr>
          <w:trHeight w:val="220" w:hRule="atLeast"/>
        </w:trPr>
        <w:tc>
          <w:tcPr>
            <w:tcW w:w="4503" w:type="dxa"/>
            <w:tcBorders>
              <w:top w:val="single" w:sz="4" w:space="0" w:color="000000"/>
              <w:left w:val="single" w:sz="4" w:space="0" w:color="000000"/>
              <w:bottom w:val="single" w:sz="4" w:space="0" w:color="000000"/>
              <w:right w:val="single" w:sz="4" w:space="0" w:color="000000"/>
            </w:tcBorders>
            <w:vAlign w:val="center"/>
          </w:tcPr>
          <w:p>
            <w:pPr>
              <w:pStyle w:val="Normal"/>
              <w:shd w:fill="FFFFFF" w:val="clear"/>
              <w:rPr>
                <w:sz w:val="24"/>
                <w:szCs w:val="24"/>
              </w:rPr>
            </w:pPr>
            <w:r>
              <w:rPr>
                <w:sz w:val="24"/>
                <w:szCs w:val="24"/>
              </w:rPr>
              <w:t>Топкинский муниципальный округ</w:t>
            </w:r>
          </w:p>
        </w:tc>
        <w:tc>
          <w:tcPr>
            <w:tcW w:w="1498" w:type="dxa"/>
            <w:tcBorders>
              <w:top w:val="single" w:sz="4" w:space="0" w:color="000000"/>
              <w:left w:val="single" w:sz="4" w:space="0" w:color="000000"/>
              <w:bottom w:val="single" w:sz="4" w:space="0" w:color="000000"/>
              <w:right w:val="single" w:sz="4" w:space="0" w:color="000000"/>
            </w:tcBorders>
            <w:tcMar>
              <w:left w:w="0" w:type="dxa"/>
              <w:right w:w="0" w:type="dxa"/>
            </w:tcMar>
            <w:vAlign w:val="center"/>
          </w:tcPr>
          <w:p>
            <w:pPr>
              <w:pStyle w:val="Normal"/>
              <w:shd w:fill="FFFFFF" w:val="clear"/>
              <w:tabs>
                <w:tab w:val="clear" w:pos="708"/>
                <w:tab w:val="decimal" w:pos="737" w:leader="none"/>
              </w:tabs>
              <w:jc w:val="both"/>
              <w:rPr>
                <w:sz w:val="24"/>
                <w:szCs w:val="24"/>
              </w:rPr>
            </w:pPr>
            <w:r>
              <w:rPr>
                <w:sz w:val="24"/>
                <w:szCs w:val="24"/>
              </w:rPr>
              <w:t>911</w:t>
            </w:r>
          </w:p>
        </w:tc>
        <w:tc>
          <w:tcPr>
            <w:tcW w:w="1498" w:type="dxa"/>
            <w:tcBorders>
              <w:top w:val="single" w:sz="4" w:space="0" w:color="000000"/>
              <w:left w:val="single" w:sz="4" w:space="0" w:color="000000"/>
              <w:bottom w:val="single" w:sz="4" w:space="0" w:color="000000"/>
              <w:right w:val="single" w:sz="4" w:space="0" w:color="000000"/>
            </w:tcBorders>
            <w:vAlign w:val="center"/>
          </w:tcPr>
          <w:p>
            <w:pPr>
              <w:pStyle w:val="Normal"/>
              <w:shd w:fill="FFFFFF" w:val="clear"/>
              <w:tabs>
                <w:tab w:val="clear" w:pos="708"/>
                <w:tab w:val="decimal" w:pos="737" w:leader="none"/>
              </w:tabs>
              <w:jc w:val="both"/>
              <w:rPr>
                <w:sz w:val="24"/>
                <w:szCs w:val="24"/>
              </w:rPr>
            </w:pPr>
            <w:r>
              <w:rPr>
                <w:sz w:val="24"/>
                <w:szCs w:val="24"/>
              </w:rPr>
              <w:t>369</w:t>
            </w:r>
          </w:p>
        </w:tc>
        <w:tc>
          <w:tcPr>
            <w:tcW w:w="1498" w:type="dxa"/>
            <w:tcBorders>
              <w:top w:val="single" w:sz="4" w:space="0" w:color="000000"/>
              <w:left w:val="single" w:sz="4" w:space="0" w:color="000000"/>
              <w:bottom w:val="single" w:sz="4" w:space="0" w:color="000000"/>
              <w:right w:val="single" w:sz="4" w:space="0" w:color="000000"/>
            </w:tcBorders>
            <w:vAlign w:val="center"/>
          </w:tcPr>
          <w:p>
            <w:pPr>
              <w:pStyle w:val="Normal"/>
              <w:shd w:fill="FFFFFF" w:val="clear"/>
              <w:tabs>
                <w:tab w:val="clear" w:pos="708"/>
                <w:tab w:val="decimal" w:pos="737" w:leader="none"/>
              </w:tabs>
              <w:jc w:val="both"/>
              <w:rPr>
                <w:sz w:val="24"/>
                <w:szCs w:val="24"/>
              </w:rPr>
            </w:pPr>
            <w:r>
              <w:rPr>
                <w:sz w:val="24"/>
                <w:szCs w:val="24"/>
              </w:rPr>
              <w:t>324</w:t>
            </w:r>
          </w:p>
        </w:tc>
      </w:tr>
      <w:tr>
        <w:trPr>
          <w:trHeight w:val="220" w:hRule="atLeast"/>
        </w:trPr>
        <w:tc>
          <w:tcPr>
            <w:tcW w:w="4503" w:type="dxa"/>
            <w:tcBorders>
              <w:top w:val="single" w:sz="4" w:space="0" w:color="000000"/>
              <w:left w:val="single" w:sz="4" w:space="0" w:color="000000"/>
              <w:bottom w:val="single" w:sz="4" w:space="0" w:color="000000"/>
              <w:right w:val="single" w:sz="4" w:space="0" w:color="000000"/>
            </w:tcBorders>
            <w:vAlign w:val="center"/>
          </w:tcPr>
          <w:p>
            <w:pPr>
              <w:pStyle w:val="Normal"/>
              <w:shd w:fill="FFFFFF" w:val="clear"/>
              <w:jc w:val="right"/>
              <w:rPr>
                <w:sz w:val="24"/>
                <w:szCs w:val="24"/>
              </w:rPr>
            </w:pPr>
            <w:r>
              <w:rPr>
                <w:sz w:val="24"/>
                <w:szCs w:val="24"/>
              </w:rPr>
              <w:t>из них имеют статус безработного</w:t>
            </w:r>
          </w:p>
        </w:tc>
        <w:tc>
          <w:tcPr>
            <w:tcW w:w="1498" w:type="dxa"/>
            <w:tcBorders>
              <w:top w:val="single" w:sz="4" w:space="0" w:color="000000"/>
              <w:left w:val="single" w:sz="4" w:space="0" w:color="000000"/>
              <w:bottom w:val="single" w:sz="4" w:space="0" w:color="000000"/>
              <w:right w:val="single" w:sz="4" w:space="0" w:color="000000"/>
            </w:tcBorders>
            <w:tcMar>
              <w:left w:w="0" w:type="dxa"/>
              <w:right w:w="0" w:type="dxa"/>
            </w:tcMar>
            <w:vAlign w:val="center"/>
          </w:tcPr>
          <w:p>
            <w:pPr>
              <w:pStyle w:val="Normal"/>
              <w:shd w:fill="FFFFFF" w:val="clear"/>
              <w:tabs>
                <w:tab w:val="clear" w:pos="708"/>
                <w:tab w:val="decimal" w:pos="737" w:leader="none"/>
              </w:tabs>
              <w:jc w:val="both"/>
              <w:rPr>
                <w:sz w:val="24"/>
                <w:szCs w:val="24"/>
              </w:rPr>
            </w:pPr>
            <w:r>
              <w:rPr>
                <w:sz w:val="24"/>
                <w:szCs w:val="24"/>
              </w:rPr>
              <w:t>860</w:t>
            </w:r>
          </w:p>
        </w:tc>
        <w:tc>
          <w:tcPr>
            <w:tcW w:w="1498" w:type="dxa"/>
            <w:tcBorders>
              <w:top w:val="single" w:sz="4" w:space="0" w:color="000000"/>
              <w:left w:val="single" w:sz="4" w:space="0" w:color="000000"/>
              <w:bottom w:val="single" w:sz="4" w:space="0" w:color="000000"/>
              <w:right w:val="single" w:sz="4" w:space="0" w:color="000000"/>
            </w:tcBorders>
            <w:vAlign w:val="center"/>
          </w:tcPr>
          <w:p>
            <w:pPr>
              <w:pStyle w:val="Normal"/>
              <w:shd w:fill="FFFFFF" w:val="clear"/>
              <w:tabs>
                <w:tab w:val="clear" w:pos="708"/>
                <w:tab w:val="decimal" w:pos="737" w:leader="none"/>
              </w:tabs>
              <w:jc w:val="both"/>
              <w:rPr>
                <w:sz w:val="24"/>
                <w:szCs w:val="24"/>
              </w:rPr>
            </w:pPr>
            <w:r>
              <w:rPr>
                <w:sz w:val="24"/>
                <w:szCs w:val="24"/>
              </w:rPr>
              <w:t>344</w:t>
            </w:r>
          </w:p>
        </w:tc>
        <w:tc>
          <w:tcPr>
            <w:tcW w:w="1498" w:type="dxa"/>
            <w:tcBorders>
              <w:top w:val="single" w:sz="4" w:space="0" w:color="000000"/>
              <w:left w:val="single" w:sz="4" w:space="0" w:color="000000"/>
              <w:bottom w:val="single" w:sz="4" w:space="0" w:color="000000"/>
              <w:right w:val="single" w:sz="4" w:space="0" w:color="000000"/>
            </w:tcBorders>
            <w:vAlign w:val="center"/>
          </w:tcPr>
          <w:p>
            <w:pPr>
              <w:pStyle w:val="Normal"/>
              <w:shd w:fill="FFFFFF" w:val="clear"/>
              <w:tabs>
                <w:tab w:val="clear" w:pos="708"/>
                <w:tab w:val="decimal" w:pos="737" w:leader="none"/>
              </w:tabs>
              <w:jc w:val="both"/>
              <w:rPr>
                <w:sz w:val="24"/>
                <w:szCs w:val="24"/>
              </w:rPr>
            </w:pPr>
            <w:r>
              <w:rPr>
                <w:sz w:val="24"/>
                <w:szCs w:val="24"/>
              </w:rPr>
              <w:t>311</w:t>
            </w:r>
          </w:p>
        </w:tc>
      </w:tr>
    </w:tbl>
    <w:p>
      <w:pPr>
        <w:pStyle w:val="Normal"/>
        <w:rPr>
          <w:sz w:val="24"/>
          <w:szCs w:val="24"/>
        </w:rPr>
      </w:pPr>
      <w:r>
        <w:rPr>
          <w:sz w:val="24"/>
          <w:szCs w:val="24"/>
        </w:rPr>
      </w:r>
    </w:p>
    <w:p>
      <w:pPr>
        <w:pStyle w:val="Normal"/>
        <w:shd w:fill="FFFFFF" w:val="clear"/>
        <w:ind w:firstLine="709"/>
        <w:jc w:val="both"/>
        <w:rPr>
          <w:sz w:val="28"/>
          <w:szCs w:val="28"/>
          <w:shd w:fill="FFFFFF" w:val="clear"/>
        </w:rPr>
      </w:pPr>
      <w:r>
        <w:rPr>
          <w:sz w:val="28"/>
          <w:szCs w:val="28"/>
          <w:shd w:fill="FFFFFF" w:val="clear"/>
        </w:rPr>
      </w:r>
    </w:p>
    <w:p>
      <w:pPr>
        <w:pStyle w:val="Normal"/>
        <w:shd w:fill="FFFFFF" w:val="clear"/>
        <w:ind w:firstLine="709"/>
        <w:jc w:val="both"/>
        <w:rPr>
          <w:sz w:val="28"/>
          <w:szCs w:val="28"/>
          <w:shd w:fill="FFFFFF" w:val="clear"/>
        </w:rPr>
      </w:pPr>
      <w:r>
        <w:rPr>
          <w:sz w:val="28"/>
          <w:szCs w:val="28"/>
          <w:shd w:fill="FFFFFF" w:val="clear"/>
        </w:rPr>
        <w:t>Несомненно, одним из факторов, влияющих на развитие хронических заболеваний, является экологическая обстановка на территории. В Топкинском муниципальном округе имеются производственные предприятия, негативно влияющие на состояние атмосферного воздуха.</w:t>
      </w:r>
    </w:p>
    <w:p>
      <w:pPr>
        <w:pStyle w:val="Normal"/>
        <w:shd w:fill="FFFFFF" w:val="clear"/>
        <w:ind w:firstLine="709"/>
        <w:jc w:val="both"/>
        <w:rPr>
          <w:sz w:val="28"/>
          <w:szCs w:val="28"/>
          <w:shd w:fill="FFFFFF" w:val="clear"/>
        </w:rPr>
      </w:pPr>
      <w:r>
        <w:rPr>
          <w:sz w:val="28"/>
          <w:szCs w:val="28"/>
          <w:shd w:fill="FFFFFF" w:val="clear"/>
        </w:rPr>
      </w:r>
    </w:p>
    <w:p>
      <w:pPr>
        <w:pStyle w:val="Normal"/>
        <w:shd w:fill="FFFFFF" w:val="clear"/>
        <w:ind w:firstLine="709"/>
        <w:jc w:val="both"/>
        <w:rPr>
          <w:bCs/>
          <w:i/>
          <w:i/>
          <w:iCs/>
          <w:sz w:val="28"/>
          <w:szCs w:val="28"/>
        </w:rPr>
      </w:pPr>
      <w:r>
        <w:rPr>
          <w:bCs/>
          <w:i/>
          <w:iCs/>
          <w:sz w:val="28"/>
          <w:szCs w:val="28"/>
        </w:rPr>
        <w:t>Таблица 24. Выбросы загрязняющих веществ в атмосферный воздух,</w:t>
        <w:br/>
        <w:t>отходящих от стационарных источников</w:t>
      </w:r>
    </w:p>
    <w:tbl>
      <w:tblPr>
        <w:tblW w:w="9267" w:type="dxa"/>
        <w:jc w:val="left"/>
        <w:tblInd w:w="-59" w:type="dxa"/>
        <w:tblLayout w:type="fixed"/>
        <w:tblCellMar>
          <w:top w:w="0" w:type="dxa"/>
          <w:left w:w="57" w:type="dxa"/>
          <w:bottom w:w="0" w:type="dxa"/>
          <w:right w:w="57" w:type="dxa"/>
        </w:tblCellMar>
      </w:tblPr>
      <w:tblGrid>
        <w:gridCol w:w="3086"/>
        <w:gridCol w:w="1028"/>
        <w:gridCol w:w="1029"/>
        <w:gridCol w:w="1031"/>
        <w:gridCol w:w="1029"/>
        <w:gridCol w:w="1029"/>
        <w:gridCol w:w="1029"/>
        <w:gridCol w:w="6"/>
      </w:tblGrid>
      <w:tr>
        <w:trPr>
          <w:trHeight w:val="380" w:hRule="atLeast"/>
        </w:trPr>
        <w:tc>
          <w:tcPr>
            <w:tcW w:w="3086" w:type="dxa"/>
            <w:tcBorders>
              <w:top w:val="double" w:sz="4" w:space="0" w:color="000000"/>
              <w:left w:val="single" w:sz="2" w:space="0" w:color="000000"/>
              <w:bottom w:val="single" w:sz="4" w:space="0" w:color="000000"/>
              <w:right w:val="single" w:sz="2" w:space="0" w:color="000000"/>
            </w:tcBorders>
            <w:vAlign w:val="bottom"/>
          </w:tcPr>
          <w:p>
            <w:pPr>
              <w:pStyle w:val="Default"/>
              <w:shd w:fill="FFFFFF" w:val="clear"/>
              <w:snapToGrid w:val="false"/>
              <w:spacing w:lineRule="auto" w:line="264" w:before="70" w:after="0"/>
              <w:jc w:val="center"/>
              <w:rPr/>
            </w:pPr>
            <w:r>
              <w:rPr/>
            </w:r>
          </w:p>
        </w:tc>
        <w:tc>
          <w:tcPr>
            <w:tcW w:w="3088" w:type="dxa"/>
            <w:gridSpan w:val="3"/>
            <w:tcBorders>
              <w:top w:val="double" w:sz="4" w:space="0" w:color="000000"/>
              <w:left w:val="single" w:sz="2" w:space="0" w:color="000000"/>
              <w:bottom w:val="single" w:sz="2" w:space="0" w:color="000000"/>
              <w:right w:val="single" w:sz="2" w:space="0" w:color="000000"/>
            </w:tcBorders>
            <w:vAlign w:val="bottom"/>
          </w:tcPr>
          <w:p>
            <w:pPr>
              <w:pStyle w:val="Default"/>
              <w:shd w:fill="FFFFFF" w:val="clear"/>
              <w:spacing w:lineRule="auto" w:line="264" w:before="70" w:after="0"/>
              <w:jc w:val="center"/>
              <w:rPr/>
            </w:pPr>
            <w:r>
              <w:rPr/>
              <w:t>Тысяч тонн</w:t>
            </w:r>
          </w:p>
        </w:tc>
        <w:tc>
          <w:tcPr>
            <w:tcW w:w="3093" w:type="dxa"/>
            <w:gridSpan w:val="3"/>
            <w:tcBorders>
              <w:top w:val="double" w:sz="4" w:space="0" w:color="000000"/>
              <w:left w:val="single" w:sz="2" w:space="0" w:color="000000"/>
              <w:bottom w:val="single" w:sz="2" w:space="0" w:color="000000"/>
              <w:right w:val="double" w:sz="4" w:space="0" w:color="000000"/>
            </w:tcBorders>
            <w:vAlign w:val="bottom"/>
          </w:tcPr>
          <w:p>
            <w:pPr>
              <w:pStyle w:val="Default"/>
              <w:shd w:fill="FFFFFF" w:val="clear"/>
              <w:spacing w:lineRule="auto" w:line="264" w:before="70" w:after="0"/>
              <w:jc w:val="center"/>
              <w:rPr/>
            </w:pPr>
            <w:r>
              <w:rPr/>
              <w:t>На душу населения, кг</w:t>
            </w:r>
          </w:p>
        </w:tc>
      </w:tr>
      <w:tr>
        <w:trPr>
          <w:trHeight w:val="493" w:hRule="atLeast"/>
        </w:trPr>
        <w:tc>
          <w:tcPr>
            <w:tcW w:w="3086" w:type="dxa"/>
            <w:tcBorders>
              <w:top w:val="single" w:sz="4" w:space="0" w:color="000000"/>
              <w:left w:val="single" w:sz="2" w:space="0" w:color="000000"/>
              <w:bottom w:val="single" w:sz="2" w:space="0" w:color="000000"/>
              <w:right w:val="single" w:sz="2" w:space="0" w:color="000000"/>
            </w:tcBorders>
          </w:tcPr>
          <w:p>
            <w:pPr>
              <w:pStyle w:val="Normal"/>
              <w:shd w:fill="FFFFFF" w:val="clear"/>
              <w:snapToGrid w:val="false"/>
              <w:spacing w:lineRule="auto" w:line="264" w:before="70" w:after="0"/>
              <w:ind w:right="-113" w:hanging="0"/>
              <w:rPr>
                <w:sz w:val="24"/>
                <w:szCs w:val="24"/>
              </w:rPr>
            </w:pPr>
            <w:r>
              <w:rPr>
                <w:sz w:val="24"/>
                <w:szCs w:val="24"/>
              </w:rPr>
            </w:r>
          </w:p>
        </w:tc>
        <w:tc>
          <w:tcPr>
            <w:tcW w:w="1028" w:type="dxa"/>
            <w:tcBorders>
              <w:top w:val="single" w:sz="2" w:space="0" w:color="000000"/>
              <w:left w:val="single" w:sz="2" w:space="0" w:color="000000"/>
              <w:bottom w:val="single" w:sz="2"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2020</w:t>
            </w:r>
          </w:p>
        </w:tc>
        <w:tc>
          <w:tcPr>
            <w:tcW w:w="1029" w:type="dxa"/>
            <w:tcBorders>
              <w:top w:val="single" w:sz="2" w:space="0" w:color="000000"/>
              <w:left w:val="single" w:sz="2" w:space="0" w:color="000000"/>
              <w:bottom w:val="single" w:sz="2"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2021</w:t>
            </w:r>
          </w:p>
        </w:tc>
        <w:tc>
          <w:tcPr>
            <w:tcW w:w="1031" w:type="dxa"/>
            <w:tcBorders>
              <w:top w:val="single" w:sz="2" w:space="0" w:color="000000"/>
              <w:left w:val="single" w:sz="2" w:space="0" w:color="000000"/>
              <w:bottom w:val="single" w:sz="2" w:space="0" w:color="000000"/>
              <w:right w:val="single" w:sz="2" w:space="0" w:color="000000"/>
            </w:tcBorders>
          </w:tcPr>
          <w:p>
            <w:pPr>
              <w:pStyle w:val="Normal"/>
              <w:shd w:fill="FFFFFF" w:val="clear"/>
              <w:spacing w:lineRule="auto" w:line="264" w:before="70" w:after="0"/>
              <w:ind w:left="-113" w:right="-113" w:hanging="0"/>
              <w:jc w:val="center"/>
              <w:rPr>
                <w:sz w:val="24"/>
                <w:szCs w:val="24"/>
              </w:rPr>
            </w:pPr>
            <w:r>
              <w:rPr>
                <w:sz w:val="24"/>
                <w:szCs w:val="24"/>
              </w:rPr>
              <w:t>2022</w:t>
            </w:r>
          </w:p>
        </w:tc>
        <w:tc>
          <w:tcPr>
            <w:tcW w:w="1029" w:type="dxa"/>
            <w:tcBorders>
              <w:top w:val="single" w:sz="2" w:space="0" w:color="000000"/>
              <w:left w:val="single" w:sz="2" w:space="0" w:color="000000"/>
              <w:bottom w:val="single" w:sz="4" w:space="0" w:color="000000"/>
              <w:right w:val="single" w:sz="2" w:space="0" w:color="000000"/>
            </w:tcBorders>
          </w:tcPr>
          <w:p>
            <w:pPr>
              <w:pStyle w:val="Normal"/>
              <w:shd w:fill="FFFFFF" w:val="clear"/>
              <w:spacing w:lineRule="auto" w:line="264" w:before="70" w:after="0"/>
              <w:jc w:val="center"/>
              <w:rPr/>
            </w:pPr>
            <w:r>
              <w:rPr>
                <w:sz w:val="24"/>
                <w:szCs w:val="24"/>
              </w:rPr>
              <w:t>2020</w:t>
            </w:r>
          </w:p>
        </w:tc>
        <w:tc>
          <w:tcPr>
            <w:tcW w:w="1029" w:type="dxa"/>
            <w:tcBorders>
              <w:top w:val="single" w:sz="2" w:space="0" w:color="000000"/>
              <w:left w:val="single" w:sz="2" w:space="0" w:color="000000"/>
              <w:bottom w:val="single" w:sz="4" w:space="0" w:color="000000"/>
              <w:right w:val="single" w:sz="2" w:space="0" w:color="000000"/>
            </w:tcBorders>
          </w:tcPr>
          <w:p>
            <w:pPr>
              <w:pStyle w:val="Normal"/>
              <w:shd w:fill="FFFFFF" w:val="clear"/>
              <w:spacing w:lineRule="auto" w:line="264" w:before="70" w:after="0"/>
              <w:jc w:val="center"/>
              <w:rPr>
                <w:sz w:val="24"/>
                <w:szCs w:val="24"/>
              </w:rPr>
            </w:pPr>
            <w:r>
              <w:rPr>
                <w:sz w:val="24"/>
                <w:szCs w:val="24"/>
              </w:rPr>
              <w:t>2021</w:t>
            </w:r>
          </w:p>
        </w:tc>
        <w:tc>
          <w:tcPr>
            <w:tcW w:w="1029" w:type="dxa"/>
            <w:tcBorders>
              <w:top w:val="single" w:sz="2" w:space="0" w:color="000000"/>
              <w:left w:val="single" w:sz="2" w:space="0" w:color="000000"/>
              <w:bottom w:val="single" w:sz="4" w:space="0" w:color="000000"/>
              <w:right w:val="double" w:sz="4" w:space="0" w:color="000000"/>
            </w:tcBorders>
          </w:tcPr>
          <w:p>
            <w:pPr>
              <w:pStyle w:val="Normal"/>
              <w:shd w:fill="FFFFFF" w:val="clear"/>
              <w:spacing w:lineRule="auto" w:line="264" w:before="70" w:after="0"/>
              <w:ind w:left="-113" w:right="-113" w:hanging="0"/>
              <w:jc w:val="center"/>
              <w:rPr>
                <w:sz w:val="24"/>
                <w:szCs w:val="24"/>
              </w:rPr>
            </w:pPr>
            <w:r>
              <w:rPr>
                <w:sz w:val="24"/>
                <w:szCs w:val="24"/>
              </w:rPr>
              <w:t>2022</w:t>
            </w:r>
          </w:p>
        </w:tc>
      </w:tr>
      <w:tr>
        <w:trPr>
          <w:trHeight w:val="364" w:hRule="atLeast"/>
        </w:trPr>
        <w:tc>
          <w:tcPr>
            <w:tcW w:w="3086" w:type="dxa"/>
            <w:tcBorders>
              <w:top w:val="dotted" w:sz="4" w:space="0" w:color="000000"/>
              <w:left w:val="dotted" w:sz="4" w:space="0" w:color="000000"/>
              <w:bottom w:val="dotted" w:sz="4" w:space="0" w:color="000000"/>
              <w:right w:val="dotted" w:sz="4" w:space="0" w:color="000000"/>
            </w:tcBorders>
            <w:vAlign w:val="center"/>
          </w:tcPr>
          <w:p>
            <w:pPr>
              <w:pStyle w:val="Normal"/>
              <w:shd w:fill="FFFFFF" w:val="clear"/>
              <w:tabs>
                <w:tab w:val="clear" w:pos="708"/>
                <w:tab w:val="decimal" w:pos="449" w:leader="none"/>
              </w:tabs>
              <w:spacing w:lineRule="auto" w:line="264" w:before="70" w:after="0"/>
              <w:rPr>
                <w:sz w:val="24"/>
                <w:szCs w:val="24"/>
              </w:rPr>
            </w:pPr>
            <w:r>
              <w:rPr>
                <w:sz w:val="24"/>
                <w:szCs w:val="24"/>
              </w:rPr>
              <w:t>Кемеровская область - Кузбасс</w:t>
            </w:r>
          </w:p>
        </w:tc>
        <w:tc>
          <w:tcPr>
            <w:tcW w:w="1028"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color w:val="000000"/>
                <w:sz w:val="24"/>
                <w:szCs w:val="24"/>
              </w:rPr>
            </w:pPr>
            <w:r>
              <w:rPr>
                <w:color w:val="000000"/>
                <w:sz w:val="24"/>
                <w:szCs w:val="24"/>
              </w:rPr>
              <w:t>1611,8</w:t>
            </w:r>
          </w:p>
        </w:tc>
        <w:tc>
          <w:tcPr>
            <w:tcW w:w="1029"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color w:val="000000"/>
                <w:sz w:val="24"/>
                <w:szCs w:val="24"/>
                <w:lang w:val="en-US"/>
              </w:rPr>
            </w:pPr>
            <w:r>
              <w:rPr>
                <w:color w:val="000000"/>
                <w:sz w:val="24"/>
                <w:szCs w:val="24"/>
                <w:lang w:val="en-US"/>
              </w:rPr>
              <w:t>1603,2</w:t>
            </w:r>
          </w:p>
        </w:tc>
        <w:tc>
          <w:tcPr>
            <w:tcW w:w="1031"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color w:val="000000"/>
                <w:sz w:val="24"/>
                <w:szCs w:val="24"/>
              </w:rPr>
            </w:pPr>
            <w:r>
              <w:rPr>
                <w:color w:val="000000"/>
                <w:sz w:val="24"/>
                <w:szCs w:val="24"/>
              </w:rPr>
              <w:t>1593,3</w:t>
            </w:r>
          </w:p>
        </w:tc>
        <w:tc>
          <w:tcPr>
            <w:tcW w:w="1029"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494" w:leader="none"/>
              </w:tabs>
              <w:spacing w:lineRule="auto" w:line="264" w:before="70" w:after="0"/>
              <w:rPr>
                <w:sz w:val="24"/>
                <w:szCs w:val="24"/>
              </w:rPr>
            </w:pPr>
            <w:r>
              <w:rPr>
                <w:sz w:val="24"/>
                <w:szCs w:val="24"/>
              </w:rPr>
              <w:t>609,2</w:t>
            </w:r>
          </w:p>
        </w:tc>
        <w:tc>
          <w:tcPr>
            <w:tcW w:w="1029"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494" w:leader="none"/>
              </w:tabs>
              <w:spacing w:lineRule="auto" w:line="264" w:before="70" w:after="0"/>
              <w:rPr>
                <w:color w:val="000000"/>
                <w:sz w:val="24"/>
                <w:szCs w:val="24"/>
              </w:rPr>
            </w:pPr>
            <w:r>
              <w:rPr>
                <w:color w:val="000000"/>
                <w:sz w:val="24"/>
                <w:szCs w:val="24"/>
              </w:rPr>
              <w:t>612,2</w:t>
            </w:r>
          </w:p>
        </w:tc>
        <w:tc>
          <w:tcPr>
            <w:tcW w:w="1029" w:type="dxa"/>
            <w:tcBorders>
              <w:top w:val="dotted" w:sz="4" w:space="0" w:color="000000"/>
              <w:left w:val="dotted" w:sz="4" w:space="0" w:color="000000"/>
              <w:bottom w:val="dotted" w:sz="4" w:space="0" w:color="000000"/>
              <w:right w:val="double" w:sz="4" w:space="0" w:color="000000"/>
            </w:tcBorders>
            <w:vAlign w:val="center"/>
          </w:tcPr>
          <w:p>
            <w:pPr>
              <w:pStyle w:val="Normal"/>
              <w:tabs>
                <w:tab w:val="clear" w:pos="708"/>
                <w:tab w:val="decimal" w:pos="494" w:leader="none"/>
              </w:tabs>
              <w:spacing w:lineRule="auto" w:line="264" w:before="70" w:after="0"/>
              <w:rPr>
                <w:color w:val="000000"/>
                <w:sz w:val="24"/>
                <w:szCs w:val="24"/>
              </w:rPr>
            </w:pPr>
            <w:r>
              <w:rPr>
                <w:color w:val="000000"/>
                <w:sz w:val="24"/>
                <w:szCs w:val="24"/>
              </w:rPr>
              <w:t>617,5</w:t>
            </w:r>
          </w:p>
        </w:tc>
      </w:tr>
      <w:tr>
        <w:trPr>
          <w:trHeight w:val="364" w:hRule="atLeast"/>
        </w:trPr>
        <w:tc>
          <w:tcPr>
            <w:tcW w:w="3086" w:type="dxa"/>
            <w:tcBorders>
              <w:top w:val="dotted" w:sz="4" w:space="0" w:color="000000"/>
              <w:left w:val="dotted" w:sz="4" w:space="0" w:color="000000"/>
              <w:bottom w:val="dotted" w:sz="4" w:space="0" w:color="000000"/>
              <w:right w:val="dotted" w:sz="4" w:space="0" w:color="000000"/>
            </w:tcBorders>
            <w:vAlign w:val="center"/>
          </w:tcPr>
          <w:p>
            <w:pPr>
              <w:pStyle w:val="Normal"/>
              <w:shd w:fill="FFFFFF" w:val="clear"/>
              <w:tabs>
                <w:tab w:val="clear" w:pos="708"/>
                <w:tab w:val="decimal" w:pos="0" w:leader="none"/>
              </w:tabs>
              <w:spacing w:lineRule="auto" w:line="264" w:before="70" w:after="0"/>
              <w:jc w:val="both"/>
              <w:rPr>
                <w:color w:val="000000"/>
                <w:sz w:val="24"/>
                <w:szCs w:val="24"/>
              </w:rPr>
            </w:pPr>
            <w:r>
              <w:rPr>
                <w:color w:val="000000"/>
                <w:sz w:val="24"/>
                <w:szCs w:val="24"/>
              </w:rPr>
              <w:t>Топкинский муниципальный округ</w:t>
            </w:r>
          </w:p>
        </w:tc>
        <w:tc>
          <w:tcPr>
            <w:tcW w:w="1028"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color w:val="000000"/>
                <w:sz w:val="24"/>
                <w:szCs w:val="24"/>
              </w:rPr>
            </w:pPr>
            <w:r>
              <w:rPr>
                <w:color w:val="000000"/>
                <w:sz w:val="24"/>
                <w:szCs w:val="24"/>
              </w:rPr>
              <w:t>14,3</w:t>
            </w:r>
          </w:p>
        </w:tc>
        <w:tc>
          <w:tcPr>
            <w:tcW w:w="1029"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sz w:val="24"/>
                <w:szCs w:val="24"/>
              </w:rPr>
            </w:pPr>
            <w:r>
              <w:rPr>
                <w:sz w:val="24"/>
                <w:szCs w:val="24"/>
              </w:rPr>
              <w:t>14,7</w:t>
            </w:r>
          </w:p>
        </w:tc>
        <w:tc>
          <w:tcPr>
            <w:tcW w:w="1031" w:type="dxa"/>
            <w:tcBorders>
              <w:top w:val="dotted" w:sz="4" w:space="0" w:color="000000"/>
              <w:left w:val="dotted" w:sz="4" w:space="0" w:color="000000"/>
              <w:bottom w:val="dotted" w:sz="4" w:space="0" w:color="000000"/>
              <w:right w:val="dotted" w:sz="4" w:space="0" w:color="000000"/>
            </w:tcBorders>
            <w:tcMar>
              <w:left w:w="0" w:type="dxa"/>
              <w:right w:w="0" w:type="dxa"/>
            </w:tcMar>
            <w:vAlign w:val="center"/>
          </w:tcPr>
          <w:p>
            <w:pPr>
              <w:pStyle w:val="Normal"/>
              <w:shd w:fill="FFFFFF" w:val="clear"/>
              <w:tabs>
                <w:tab w:val="clear" w:pos="708"/>
                <w:tab w:val="decimal" w:pos="523" w:leader="none"/>
              </w:tabs>
              <w:spacing w:lineRule="auto" w:line="264" w:before="70" w:after="0"/>
              <w:rPr>
                <w:sz w:val="24"/>
                <w:szCs w:val="24"/>
              </w:rPr>
            </w:pPr>
            <w:r>
              <w:rPr>
                <w:sz w:val="24"/>
                <w:szCs w:val="24"/>
              </w:rPr>
              <w:t>14,1</w:t>
            </w:r>
          </w:p>
        </w:tc>
        <w:tc>
          <w:tcPr>
            <w:tcW w:w="1029"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494" w:leader="none"/>
              </w:tabs>
              <w:spacing w:lineRule="auto" w:line="264" w:before="70" w:after="0"/>
              <w:rPr>
                <w:color w:val="000000"/>
                <w:sz w:val="24"/>
                <w:szCs w:val="24"/>
              </w:rPr>
            </w:pPr>
            <w:r>
              <w:rPr>
                <w:color w:val="000000"/>
                <w:sz w:val="24"/>
                <w:szCs w:val="24"/>
              </w:rPr>
              <w:t>333,7</w:t>
            </w:r>
          </w:p>
        </w:tc>
        <w:tc>
          <w:tcPr>
            <w:tcW w:w="1029"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494" w:leader="none"/>
              </w:tabs>
              <w:spacing w:lineRule="auto" w:line="264" w:before="70" w:after="0"/>
              <w:rPr>
                <w:color w:val="000000"/>
                <w:sz w:val="24"/>
                <w:szCs w:val="24"/>
              </w:rPr>
            </w:pPr>
            <w:r>
              <w:rPr>
                <w:color w:val="000000"/>
                <w:sz w:val="24"/>
                <w:szCs w:val="24"/>
              </w:rPr>
              <w:t>346,1</w:t>
            </w:r>
          </w:p>
        </w:tc>
        <w:tc>
          <w:tcPr>
            <w:tcW w:w="1029" w:type="dxa"/>
            <w:tcBorders>
              <w:top w:val="dotted" w:sz="4" w:space="0" w:color="000000"/>
              <w:left w:val="dotted" w:sz="4" w:space="0" w:color="000000"/>
              <w:bottom w:val="dotted" w:sz="4" w:space="0" w:color="000000"/>
              <w:right w:val="double" w:sz="4" w:space="0" w:color="000000"/>
            </w:tcBorders>
            <w:vAlign w:val="center"/>
          </w:tcPr>
          <w:p>
            <w:pPr>
              <w:pStyle w:val="Normal"/>
              <w:tabs>
                <w:tab w:val="clear" w:pos="708"/>
                <w:tab w:val="decimal" w:pos="494" w:leader="none"/>
              </w:tabs>
              <w:spacing w:lineRule="auto" w:line="264" w:before="70" w:after="0"/>
              <w:rPr>
                <w:color w:val="000000"/>
                <w:sz w:val="24"/>
                <w:szCs w:val="24"/>
              </w:rPr>
            </w:pPr>
            <w:r>
              <w:rPr>
                <w:color w:val="000000"/>
                <w:sz w:val="24"/>
                <w:szCs w:val="24"/>
              </w:rPr>
              <w:t>345,5</w:t>
            </w:r>
          </w:p>
        </w:tc>
      </w:tr>
    </w:tbl>
    <w:p>
      <w:pPr>
        <w:pStyle w:val="Normal"/>
        <w:shd w:fill="FFFFFF" w:val="clear"/>
        <w:ind w:firstLine="709"/>
        <w:jc w:val="both"/>
        <w:rPr>
          <w:bCs/>
          <w:i/>
          <w:i/>
          <w:iCs/>
          <w:sz w:val="28"/>
          <w:szCs w:val="28"/>
        </w:rPr>
      </w:pPr>
      <w:r>
        <w:rPr>
          <w:bCs/>
          <w:i/>
          <w:iCs/>
          <w:sz w:val="28"/>
          <w:szCs w:val="28"/>
        </w:rPr>
      </w:r>
    </w:p>
    <w:p>
      <w:pPr>
        <w:pStyle w:val="Normal"/>
        <w:shd w:fill="FFFFFF" w:val="clear"/>
        <w:ind w:firstLine="709"/>
        <w:jc w:val="both"/>
        <w:rPr>
          <w:rFonts w:ascii="Arial Narrow" w:hAnsi="Arial Narrow" w:cs="Arial Narrow"/>
          <w:b/>
          <w:b/>
          <w:bCs/>
          <w:i/>
          <w:i/>
          <w:iCs/>
          <w:sz w:val="26"/>
          <w:szCs w:val="26"/>
        </w:rPr>
      </w:pPr>
      <w:r>
        <w:rPr>
          <w:rFonts w:cs="Arial Narrow" w:ascii="Arial Narrow" w:hAnsi="Arial Narrow"/>
          <w:b/>
          <w:bCs/>
          <w:i/>
          <w:iCs/>
          <w:sz w:val="26"/>
          <w:szCs w:val="26"/>
        </w:rPr>
      </w:r>
    </w:p>
    <w:p>
      <w:pPr>
        <w:pStyle w:val="ListParagraph"/>
        <w:numPr>
          <w:ilvl w:val="1"/>
          <w:numId w:val="6"/>
        </w:numPr>
        <w:spacing w:lineRule="auto" w:line="240" w:before="0" w:after="0"/>
        <w:jc w:val="center"/>
        <w:rPr>
          <w:rFonts w:ascii="Times New Roman" w:hAnsi="Times New Roman" w:cs="Times New Roman"/>
          <w:sz w:val="28"/>
          <w:szCs w:val="28"/>
        </w:rPr>
      </w:pPr>
      <w:r>
        <w:rPr>
          <w:rFonts w:cs="Times New Roman" w:ascii="Times New Roman" w:hAnsi="Times New Roman"/>
          <w:sz w:val="28"/>
          <w:szCs w:val="28"/>
        </w:rPr>
        <w:t xml:space="preserve">   </w:t>
      </w:r>
      <w:r>
        <w:rPr>
          <w:rFonts w:cs="Times New Roman" w:ascii="Times New Roman" w:hAnsi="Times New Roman"/>
          <w:sz w:val="28"/>
          <w:szCs w:val="28"/>
        </w:rPr>
        <w:t>Распространенность курения табака и потребления иной никотиносодержащей продукции</w:t>
      </w:r>
    </w:p>
    <w:p>
      <w:pPr>
        <w:pStyle w:val="ListParagraph"/>
        <w:spacing w:lineRule="auto" w:line="240" w:before="0" w:after="0"/>
        <w:jc w:val="center"/>
        <w:rPr>
          <w:rFonts w:ascii="Times New Roman" w:hAnsi="Times New Roman" w:cs="Times New Roman"/>
          <w:sz w:val="28"/>
          <w:szCs w:val="28"/>
        </w:rPr>
      </w:pPr>
      <w:r>
        <w:rPr>
          <w:rFonts w:cs="Times New Roman" w:ascii="Times New Roman" w:hAnsi="Times New Roman"/>
          <w:sz w:val="28"/>
          <w:szCs w:val="28"/>
        </w:rPr>
      </w:r>
    </w:p>
    <w:p>
      <w:pPr>
        <w:pStyle w:val="ListParagraph"/>
        <w:spacing w:lineRule="auto" w:line="240" w:before="0" w:after="0"/>
        <w:ind w:left="0" w:right="0" w:firstLine="567"/>
        <w:jc w:val="both"/>
        <w:rPr/>
      </w:pPr>
      <w:r>
        <w:rPr>
          <w:rFonts w:cs="Times New Roman" w:ascii="Times New Roman" w:hAnsi="Times New Roman"/>
          <w:sz w:val="28"/>
          <w:szCs w:val="28"/>
        </w:rPr>
        <w:t>В 2020 г. ГБУЗ «Кузбасский центр общественного здоровья и медицинской профилактики» проведено анкетирование населения трудоспособного возраста в муниципальных образованиях Кемеровской области-Кузбасса по следующим направлениям (вопросам):</w:t>
      </w:r>
      <w:r>
        <w:rPr>
          <w:rFonts w:eastAsia="Andale Sans UI;Arial Unicode MS" w:cs="Times New Roman" w:ascii="Times New Roman" w:hAnsi="Times New Roman"/>
          <w:kern w:val="2"/>
          <w:sz w:val="28"/>
          <w:szCs w:val="28"/>
          <w:lang w:eastAsia="ar-SA"/>
        </w:rPr>
        <w:t xml:space="preserve"> потребление алкоголя; табака и иной никотиносодержащей продукции; питание; физическая активность; состояние здоровья и психическое здоровье.</w:t>
      </w:r>
    </w:p>
    <w:p>
      <w:pPr>
        <w:pStyle w:val="ListParagraph"/>
        <w:spacing w:lineRule="auto" w:line="240" w:before="0" w:after="0"/>
        <w:ind w:left="0" w:right="0" w:firstLine="567"/>
        <w:jc w:val="both"/>
        <w:rPr>
          <w:rFonts w:ascii="Times New Roman" w:hAnsi="Times New Roman" w:eastAsia="Andale Sans UI;Arial Unicode MS" w:cs="Times New Roman"/>
          <w:kern w:val="2"/>
          <w:sz w:val="28"/>
          <w:szCs w:val="28"/>
          <w:lang w:eastAsia="ar-SA"/>
        </w:rPr>
      </w:pPr>
      <w:r>
        <w:rPr>
          <w:rFonts w:eastAsia="Andale Sans UI;Arial Unicode MS" w:cs="Times New Roman" w:ascii="Times New Roman" w:hAnsi="Times New Roman"/>
          <w:kern w:val="2"/>
          <w:sz w:val="28"/>
          <w:szCs w:val="28"/>
          <w:lang w:eastAsia="ar-SA"/>
        </w:rPr>
      </w:r>
    </w:p>
    <w:p>
      <w:pPr>
        <w:pStyle w:val="Normal"/>
        <w:ind w:firstLine="709"/>
        <w:jc w:val="both"/>
        <w:rPr/>
      </w:pPr>
      <w:r>
        <w:rPr>
          <w:sz w:val="28"/>
          <w:szCs w:val="28"/>
        </w:rPr>
        <w:t xml:space="preserve">На территории Топкинского муниципального округа были опрошены случайно отобранные 419 человек трудоспособного возраста (мужчины в возрасте 16-59 лет; </w:t>
      </w:r>
      <w:r>
        <w:rPr>
          <w:rFonts w:eastAsia="Calibri"/>
          <w:sz w:val="28"/>
          <w:szCs w:val="28"/>
        </w:rPr>
        <w:t>женщины в возрасте 16-54 лет): женщин –</w:t>
      </w:r>
      <w:r>
        <w:rPr>
          <w:sz w:val="28"/>
          <w:szCs w:val="28"/>
        </w:rPr>
        <w:t xml:space="preserve"> 212 (50,6%), мужчин - 207 (49,4%).</w:t>
      </w:r>
    </w:p>
    <w:p>
      <w:pPr>
        <w:pStyle w:val="Normal"/>
        <w:ind w:firstLine="709"/>
        <w:jc w:val="both"/>
        <w:rPr>
          <w:sz w:val="28"/>
          <w:szCs w:val="28"/>
        </w:rPr>
      </w:pPr>
      <w:r>
        <w:rPr>
          <w:sz w:val="28"/>
          <w:szCs w:val="28"/>
        </w:rPr>
      </w:r>
    </w:p>
    <w:p>
      <w:pPr>
        <w:pStyle w:val="Normal"/>
        <w:ind w:firstLine="709"/>
        <w:jc w:val="both"/>
        <w:rPr>
          <w:i/>
          <w:i/>
          <w:iCs/>
          <w:sz w:val="28"/>
          <w:szCs w:val="28"/>
        </w:rPr>
      </w:pPr>
      <w:r>
        <w:rPr>
          <w:i/>
          <w:iCs/>
          <w:sz w:val="28"/>
          <w:szCs w:val="28"/>
        </w:rPr>
        <w:t>Таблица 25. Участники опроса Топкинского муниципального округа</w:t>
      </w:r>
    </w:p>
    <w:tbl>
      <w:tblPr>
        <w:tblW w:w="9027" w:type="dxa"/>
        <w:jc w:val="center"/>
        <w:tblInd w:w="0" w:type="dxa"/>
        <w:tblLayout w:type="fixed"/>
        <w:tblCellMar>
          <w:top w:w="0" w:type="dxa"/>
          <w:left w:w="108" w:type="dxa"/>
          <w:bottom w:w="0" w:type="dxa"/>
          <w:right w:w="108" w:type="dxa"/>
        </w:tblCellMar>
      </w:tblPr>
      <w:tblGrid>
        <w:gridCol w:w="1440"/>
        <w:gridCol w:w="1577"/>
        <w:gridCol w:w="1086"/>
        <w:gridCol w:w="2419"/>
        <w:gridCol w:w="2505"/>
      </w:tblGrid>
      <w:tr>
        <w:trPr>
          <w:trHeight w:val="479" w:hRule="atLeast"/>
        </w:trPr>
        <w:tc>
          <w:tcPr>
            <w:tcW w:w="4103" w:type="dxa"/>
            <w:gridSpan w:val="3"/>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Количество опрошенных</w:t>
            </w:r>
          </w:p>
        </w:tc>
        <w:tc>
          <w:tcPr>
            <w:tcW w:w="2419" w:type="dxa"/>
            <w:vMerge w:val="restart"/>
            <w:tcBorders>
              <w:top w:val="single" w:sz="4" w:space="0" w:color="000000"/>
              <w:left w:val="single" w:sz="4" w:space="0" w:color="000000"/>
              <w:bottom w:val="single" w:sz="4" w:space="0" w:color="000000"/>
              <w:right w:val="single" w:sz="4" w:space="0" w:color="000000"/>
            </w:tcBorders>
            <w:vAlign w:val="center"/>
          </w:tcPr>
          <w:p>
            <w:pPr>
              <w:pStyle w:val="Normal"/>
              <w:jc w:val="center"/>
              <w:rPr>
                <w:color w:val="000000"/>
                <w:sz w:val="24"/>
                <w:szCs w:val="24"/>
              </w:rPr>
            </w:pPr>
            <w:r>
              <w:rPr>
                <w:color w:val="000000"/>
                <w:sz w:val="24"/>
                <w:szCs w:val="24"/>
              </w:rPr>
              <w:t>Трудоспособное население муниципальных образований, участвовавших в опросе, человек</w:t>
            </w:r>
          </w:p>
        </w:tc>
        <w:tc>
          <w:tcPr>
            <w:tcW w:w="2505" w:type="dxa"/>
            <w:vMerge w:val="restart"/>
            <w:tcBorders>
              <w:top w:val="single" w:sz="4" w:space="0" w:color="000000"/>
              <w:left w:val="single" w:sz="4" w:space="0" w:color="000000"/>
              <w:bottom w:val="single" w:sz="4" w:space="0" w:color="000000"/>
              <w:right w:val="single" w:sz="4" w:space="0" w:color="000000"/>
            </w:tcBorders>
            <w:vAlign w:val="center"/>
          </w:tcPr>
          <w:p>
            <w:pPr>
              <w:pStyle w:val="Normal"/>
              <w:jc w:val="center"/>
              <w:rPr>
                <w:color w:val="000000"/>
                <w:sz w:val="24"/>
                <w:szCs w:val="24"/>
              </w:rPr>
            </w:pPr>
            <w:r>
              <w:rPr>
                <w:color w:val="000000"/>
                <w:sz w:val="24"/>
                <w:szCs w:val="24"/>
              </w:rPr>
              <w:t>Доля участвовавших в опросе среди трудоспособного населения муниципального образования</w:t>
            </w:r>
          </w:p>
        </w:tc>
      </w:tr>
      <w:tr>
        <w:trPr>
          <w:trHeight w:val="479" w:hRule="atLeast"/>
        </w:trPr>
        <w:tc>
          <w:tcPr>
            <w:tcW w:w="144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женщин</w:t>
            </w:r>
          </w:p>
        </w:tc>
        <w:tc>
          <w:tcPr>
            <w:tcW w:w="157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мужчин</w:t>
            </w:r>
          </w:p>
        </w:tc>
        <w:tc>
          <w:tcPr>
            <w:tcW w:w="108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sz w:val="24"/>
                <w:szCs w:val="24"/>
              </w:rPr>
            </w:pPr>
            <w:r>
              <w:rPr>
                <w:sz w:val="24"/>
                <w:szCs w:val="24"/>
              </w:rPr>
              <w:t>всего</w:t>
            </w:r>
          </w:p>
        </w:tc>
        <w:tc>
          <w:tcPr>
            <w:tcW w:w="241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napToGrid w:val="false"/>
              <w:jc w:val="center"/>
              <w:rPr>
                <w:color w:val="000000"/>
                <w:sz w:val="24"/>
                <w:szCs w:val="24"/>
              </w:rPr>
            </w:pPr>
            <w:r>
              <w:rPr>
                <w:color w:val="000000"/>
                <w:sz w:val="24"/>
                <w:szCs w:val="24"/>
              </w:rPr>
            </w:r>
          </w:p>
        </w:tc>
        <w:tc>
          <w:tcPr>
            <w:tcW w:w="25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snapToGrid w:val="false"/>
              <w:jc w:val="center"/>
              <w:rPr>
                <w:color w:val="000000"/>
                <w:sz w:val="24"/>
                <w:szCs w:val="24"/>
              </w:rPr>
            </w:pPr>
            <w:r>
              <w:rPr>
                <w:color w:val="000000"/>
                <w:sz w:val="24"/>
                <w:szCs w:val="24"/>
              </w:rPr>
            </w:r>
          </w:p>
        </w:tc>
      </w:tr>
      <w:tr>
        <w:trPr>
          <w:trHeight w:val="274" w:hRule="atLeast"/>
        </w:trPr>
        <w:tc>
          <w:tcPr>
            <w:tcW w:w="1440" w:type="dxa"/>
            <w:tcBorders>
              <w:top w:val="single" w:sz="4" w:space="0" w:color="000000"/>
              <w:left w:val="single" w:sz="4" w:space="0" w:color="000000"/>
              <w:bottom w:val="single" w:sz="4" w:space="0" w:color="000000"/>
              <w:right w:val="single" w:sz="4" w:space="0" w:color="000000"/>
            </w:tcBorders>
            <w:vAlign w:val="center"/>
          </w:tcPr>
          <w:p>
            <w:pPr>
              <w:pStyle w:val="Normal"/>
              <w:jc w:val="center"/>
              <w:rPr>
                <w:color w:val="000000"/>
                <w:sz w:val="22"/>
                <w:szCs w:val="22"/>
              </w:rPr>
            </w:pPr>
            <w:r>
              <w:rPr>
                <w:color w:val="000000"/>
                <w:sz w:val="22"/>
                <w:szCs w:val="22"/>
              </w:rPr>
              <w:t>212</w:t>
            </w:r>
          </w:p>
        </w:tc>
        <w:tc>
          <w:tcPr>
            <w:tcW w:w="1577" w:type="dxa"/>
            <w:tcBorders>
              <w:top w:val="single" w:sz="4" w:space="0" w:color="000000"/>
              <w:left w:val="single" w:sz="4" w:space="0" w:color="000000"/>
              <w:bottom w:val="single" w:sz="4" w:space="0" w:color="000000"/>
              <w:right w:val="single" w:sz="4" w:space="0" w:color="000000"/>
            </w:tcBorders>
            <w:vAlign w:val="center"/>
          </w:tcPr>
          <w:p>
            <w:pPr>
              <w:pStyle w:val="Normal"/>
              <w:jc w:val="center"/>
              <w:rPr>
                <w:color w:val="000000"/>
                <w:sz w:val="22"/>
                <w:szCs w:val="22"/>
              </w:rPr>
            </w:pPr>
            <w:r>
              <w:rPr>
                <w:color w:val="000000"/>
                <w:sz w:val="22"/>
                <w:szCs w:val="22"/>
              </w:rPr>
              <w:t>207</w:t>
            </w:r>
          </w:p>
        </w:tc>
        <w:tc>
          <w:tcPr>
            <w:tcW w:w="1086" w:type="dxa"/>
            <w:tcBorders>
              <w:top w:val="single" w:sz="4" w:space="0" w:color="000000"/>
              <w:left w:val="single" w:sz="4" w:space="0" w:color="000000"/>
              <w:bottom w:val="single" w:sz="4" w:space="0" w:color="000000"/>
              <w:right w:val="single" w:sz="4" w:space="0" w:color="000000"/>
            </w:tcBorders>
            <w:vAlign w:val="center"/>
          </w:tcPr>
          <w:p>
            <w:pPr>
              <w:pStyle w:val="Normal"/>
              <w:jc w:val="center"/>
              <w:rPr>
                <w:color w:val="000000"/>
                <w:sz w:val="22"/>
                <w:szCs w:val="22"/>
              </w:rPr>
            </w:pPr>
            <w:r>
              <w:rPr>
                <w:color w:val="000000"/>
                <w:sz w:val="22"/>
                <w:szCs w:val="22"/>
              </w:rPr>
              <w:t>419</w:t>
            </w:r>
          </w:p>
        </w:tc>
        <w:tc>
          <w:tcPr>
            <w:tcW w:w="2419" w:type="dxa"/>
            <w:tcBorders>
              <w:top w:val="single" w:sz="4" w:space="0" w:color="000000"/>
              <w:left w:val="single" w:sz="4" w:space="0" w:color="000000"/>
              <w:bottom w:val="single" w:sz="4" w:space="0" w:color="000000"/>
              <w:right w:val="single" w:sz="4" w:space="0" w:color="000000"/>
            </w:tcBorders>
            <w:vAlign w:val="center"/>
          </w:tcPr>
          <w:p>
            <w:pPr>
              <w:pStyle w:val="Normal"/>
              <w:jc w:val="center"/>
              <w:rPr>
                <w:rFonts w:eastAsia="Calibri"/>
                <w:color w:val="000000"/>
                <w:sz w:val="22"/>
                <w:szCs w:val="22"/>
                <w:lang w:eastAsia="en-US"/>
              </w:rPr>
            </w:pPr>
            <w:r>
              <w:rPr>
                <w:rFonts w:eastAsia="Calibri"/>
                <w:color w:val="000000"/>
                <w:sz w:val="22"/>
                <w:szCs w:val="22"/>
                <w:lang w:eastAsia="en-US"/>
              </w:rPr>
              <w:t>21849</w:t>
            </w:r>
          </w:p>
        </w:tc>
        <w:tc>
          <w:tcPr>
            <w:tcW w:w="2505" w:type="dxa"/>
            <w:tcBorders>
              <w:top w:val="single" w:sz="4" w:space="0" w:color="000000"/>
              <w:left w:val="single" w:sz="4" w:space="0" w:color="000000"/>
              <w:bottom w:val="single" w:sz="4" w:space="0" w:color="000000"/>
              <w:right w:val="single" w:sz="4" w:space="0" w:color="000000"/>
            </w:tcBorders>
            <w:shd w:fill="FFFFFF" w:val="clear"/>
            <w:vAlign w:val="center"/>
          </w:tcPr>
          <w:p>
            <w:pPr>
              <w:pStyle w:val="Normal"/>
              <w:jc w:val="center"/>
              <w:rPr>
                <w:color w:val="000000"/>
                <w:sz w:val="22"/>
                <w:szCs w:val="22"/>
              </w:rPr>
            </w:pPr>
            <w:r>
              <w:rPr>
                <w:color w:val="000000"/>
                <w:sz w:val="22"/>
                <w:szCs w:val="22"/>
              </w:rPr>
              <w:t>1,9%</w:t>
            </w:r>
          </w:p>
        </w:tc>
      </w:tr>
    </w:tbl>
    <w:p>
      <w:pPr>
        <w:pStyle w:val="ListParagraph"/>
        <w:spacing w:lineRule="auto" w:line="240" w:before="0" w:after="0"/>
        <w:jc w:val="center"/>
        <w:rPr>
          <w:rFonts w:ascii="Times New Roman" w:hAnsi="Times New Roman" w:cs="Times New Roman"/>
          <w:sz w:val="28"/>
          <w:szCs w:val="28"/>
        </w:rPr>
      </w:pPr>
      <w:r>
        <w:rPr>
          <w:rFonts w:cs="Times New Roman" w:ascii="Times New Roman" w:hAnsi="Times New Roman"/>
          <w:sz w:val="28"/>
          <w:szCs w:val="28"/>
        </w:rPr>
      </w:r>
    </w:p>
    <w:p>
      <w:pPr>
        <w:pStyle w:val="Normal"/>
        <w:ind w:firstLine="709"/>
        <w:jc w:val="both"/>
        <w:rPr>
          <w:sz w:val="28"/>
          <w:szCs w:val="28"/>
        </w:rPr>
      </w:pPr>
      <w:r>
        <w:rPr>
          <w:sz w:val="28"/>
          <w:szCs w:val="28"/>
        </w:rPr>
        <w:t>На вопрос «Курите ли Вы в настоящее время какие-либо табачные изделия» ответы респондентов распределились следующим образом:</w:t>
      </w:r>
    </w:p>
    <w:p>
      <w:pPr>
        <w:pStyle w:val="Normal"/>
        <w:ind w:firstLine="709"/>
        <w:jc w:val="both"/>
        <w:rPr>
          <w:sz w:val="28"/>
          <w:szCs w:val="28"/>
        </w:rPr>
      </w:pPr>
      <w:r>
        <w:rPr>
          <w:sz w:val="28"/>
          <w:szCs w:val="28"/>
        </w:rPr>
        <w:t>- всего курят – 174 человека (41,53% опрошенных), не курят – 245 человек (58,47% опрошенных);</w:t>
      </w:r>
    </w:p>
    <w:p>
      <w:pPr>
        <w:pStyle w:val="Normal"/>
        <w:ind w:firstLine="709"/>
        <w:jc w:val="both"/>
        <w:rPr>
          <w:sz w:val="28"/>
          <w:szCs w:val="28"/>
        </w:rPr>
      </w:pPr>
      <w:r>
        <w:rPr>
          <w:sz w:val="28"/>
          <w:szCs w:val="28"/>
        </w:rPr>
        <w:t xml:space="preserve">- ответили утвердительно – 82 женщины (38,68%) и 92 мужчины (44,44%); </w:t>
      </w:r>
    </w:p>
    <w:p>
      <w:pPr>
        <w:pStyle w:val="Normal"/>
        <w:ind w:firstLine="709"/>
        <w:jc w:val="both"/>
        <w:rPr>
          <w:sz w:val="28"/>
          <w:szCs w:val="28"/>
        </w:rPr>
      </w:pPr>
      <w:r>
        <w:rPr>
          <w:sz w:val="28"/>
          <w:szCs w:val="28"/>
        </w:rPr>
        <w:t>- ответили отрицательно – 130 женщин (61,32%) и 115 мужчин (55,56%).</w:t>
      </w:r>
    </w:p>
    <w:p>
      <w:pPr>
        <w:pStyle w:val="Normal"/>
        <w:ind w:firstLine="709"/>
        <w:jc w:val="both"/>
        <w:rPr>
          <w:sz w:val="28"/>
          <w:szCs w:val="28"/>
        </w:rPr>
      </w:pPr>
      <w:r>
        <w:rPr>
          <w:sz w:val="28"/>
          <w:szCs w:val="28"/>
        </w:rPr>
      </w:r>
    </w:p>
    <w:p>
      <w:pPr>
        <w:pStyle w:val="Normal"/>
        <w:ind w:firstLine="709"/>
        <w:jc w:val="both"/>
        <w:rPr>
          <w:sz w:val="28"/>
          <w:szCs w:val="28"/>
        </w:rPr>
      </w:pPr>
      <w:r>
        <w:rPr>
          <w:sz w:val="28"/>
          <w:szCs w:val="28"/>
        </w:rPr>
        <w:t>Наиболее распространено курение среди населения обоих полов возрастной категории «менее 20 лет»: курят – 50,00%, не курят – 50,00% респондентов этой возрастной категории. На втором месте по распространенности курения возрастная категория «20-29 лет»: курят – 47,97%, не курят – 52,03%.</w:t>
      </w:r>
    </w:p>
    <w:p>
      <w:pPr>
        <w:pStyle w:val="Normal"/>
        <w:ind w:firstLine="709"/>
        <w:jc w:val="both"/>
        <w:rPr>
          <w:sz w:val="28"/>
          <w:szCs w:val="28"/>
        </w:rPr>
      </w:pPr>
      <w:r>
        <w:rPr>
          <w:sz w:val="28"/>
          <w:szCs w:val="28"/>
        </w:rPr>
      </w:r>
    </w:p>
    <w:p>
      <w:pPr>
        <w:pStyle w:val="Normal"/>
        <w:ind w:firstLine="709"/>
        <w:jc w:val="both"/>
        <w:rPr>
          <w:sz w:val="28"/>
          <w:szCs w:val="28"/>
        </w:rPr>
      </w:pPr>
      <w:r>
        <w:rPr>
          <w:sz w:val="28"/>
          <w:szCs w:val="28"/>
        </w:rPr>
        <w:t>Наибольшие доли курящих среди каждого пола приходятся:</w:t>
      </w:r>
    </w:p>
    <w:p>
      <w:pPr>
        <w:pStyle w:val="Style28"/>
        <w:numPr>
          <w:ilvl w:val="0"/>
          <w:numId w:val="7"/>
        </w:numPr>
        <w:spacing w:lineRule="auto" w:line="240" w:before="0" w:after="0"/>
        <w:ind w:left="0" w:right="0" w:firstLine="709"/>
        <w:contextualSpacing/>
        <w:jc w:val="both"/>
        <w:rPr/>
      </w:pPr>
      <w:r>
        <w:rPr>
          <w:sz w:val="28"/>
          <w:szCs w:val="28"/>
        </w:rPr>
        <w:t xml:space="preserve">женщины «20-29 лет» – курят </w:t>
      </w:r>
      <w:r>
        <w:rPr>
          <w:color w:val="000000"/>
          <w:sz w:val="28"/>
          <w:szCs w:val="28"/>
        </w:rPr>
        <w:t>46,97%</w:t>
      </w:r>
      <w:r>
        <w:rPr>
          <w:sz w:val="28"/>
          <w:szCs w:val="28"/>
        </w:rPr>
        <w:t>;</w:t>
      </w:r>
    </w:p>
    <w:p>
      <w:pPr>
        <w:pStyle w:val="Style28"/>
        <w:numPr>
          <w:ilvl w:val="0"/>
          <w:numId w:val="7"/>
        </w:numPr>
        <w:spacing w:lineRule="auto" w:line="240" w:before="0" w:after="0"/>
        <w:ind w:left="0" w:right="0" w:firstLine="709"/>
        <w:contextualSpacing/>
        <w:jc w:val="both"/>
        <w:rPr>
          <w:sz w:val="28"/>
          <w:szCs w:val="28"/>
        </w:rPr>
      </w:pPr>
      <w:r>
        <w:rPr>
          <w:sz w:val="28"/>
          <w:szCs w:val="28"/>
        </w:rPr>
        <w:t>мужчины «менее 20 лет» – курят 54,55%, на втором месте возрастная категория «20-29 лет» – курят 49,12%;</w:t>
      </w:r>
    </w:p>
    <w:p>
      <w:pPr>
        <w:pStyle w:val="ListParagraph"/>
        <w:spacing w:lineRule="auto" w:line="240" w:before="0" w:after="0"/>
        <w:ind w:left="0" w:right="0" w:firstLine="567"/>
        <w:jc w:val="both"/>
        <w:rPr>
          <w:rFonts w:ascii="Times New Roman" w:hAnsi="Times New Roman" w:cs="Times New Roman"/>
          <w:sz w:val="28"/>
          <w:szCs w:val="28"/>
        </w:rPr>
      </w:pPr>
      <w:r>
        <w:rPr>
          <w:rFonts w:cs="Times New Roman" w:ascii="Times New Roman" w:hAnsi="Times New Roman"/>
          <w:sz w:val="28"/>
          <w:szCs w:val="28"/>
        </w:rPr>
      </w:r>
    </w:p>
    <w:p>
      <w:pPr>
        <w:pStyle w:val="Normal"/>
        <w:ind w:firstLine="709"/>
        <w:jc w:val="both"/>
        <w:rPr>
          <w:sz w:val="28"/>
          <w:szCs w:val="28"/>
        </w:rPr>
      </w:pPr>
      <w:r>
        <w:rPr>
          <w:sz w:val="28"/>
          <w:szCs w:val="28"/>
        </w:rPr>
        <w:t>Ответы респондентов на вопрос «В каком, приблизительно, возрасте Вы впервые попробовали курить?» указаны ниже в таблице.</w:t>
      </w:r>
    </w:p>
    <w:p>
      <w:pPr>
        <w:pStyle w:val="Normal"/>
        <w:ind w:firstLine="709"/>
        <w:jc w:val="both"/>
        <w:rPr>
          <w:i/>
          <w:i/>
          <w:iCs/>
          <w:sz w:val="28"/>
          <w:szCs w:val="28"/>
        </w:rPr>
      </w:pPr>
      <w:r>
        <w:rPr>
          <w:i/>
          <w:iCs/>
          <w:sz w:val="28"/>
          <w:szCs w:val="28"/>
        </w:rPr>
        <w:t>Таблица 26. Возрастной показатель по вопросу курения впервые</w:t>
      </w:r>
    </w:p>
    <w:tbl>
      <w:tblPr>
        <w:tblW w:w="9493" w:type="dxa"/>
        <w:jc w:val="center"/>
        <w:tblInd w:w="0" w:type="dxa"/>
        <w:tblLayout w:type="fixed"/>
        <w:tblCellMar>
          <w:top w:w="0" w:type="dxa"/>
          <w:left w:w="108" w:type="dxa"/>
          <w:bottom w:w="0" w:type="dxa"/>
          <w:right w:w="108" w:type="dxa"/>
        </w:tblCellMar>
      </w:tblPr>
      <w:tblGrid>
        <w:gridCol w:w="2507"/>
        <w:gridCol w:w="1727"/>
        <w:gridCol w:w="757"/>
        <w:gridCol w:w="1480"/>
        <w:gridCol w:w="756"/>
        <w:gridCol w:w="1380"/>
        <w:gridCol w:w="886"/>
      </w:tblGrid>
      <w:tr>
        <w:trPr>
          <w:trHeight w:val="288" w:hRule="atLeast"/>
        </w:trPr>
        <w:tc>
          <w:tcPr>
            <w:tcW w:w="250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snapToGrid w:val="false"/>
              <w:rPr>
                <w:b/>
                <w:b/>
                <w:bCs/>
                <w:color w:val="000000"/>
                <w:sz w:val="24"/>
                <w:szCs w:val="24"/>
              </w:rPr>
            </w:pPr>
            <w:r>
              <w:rPr>
                <w:b/>
                <w:bCs/>
                <w:color w:val="000000"/>
                <w:sz w:val="24"/>
                <w:szCs w:val="24"/>
              </w:rPr>
            </w:r>
          </w:p>
        </w:tc>
        <w:tc>
          <w:tcPr>
            <w:tcW w:w="172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color w:val="000000"/>
                <w:sz w:val="24"/>
                <w:szCs w:val="24"/>
              </w:rPr>
            </w:pPr>
            <w:r>
              <w:rPr>
                <w:color w:val="000000"/>
                <w:sz w:val="24"/>
                <w:szCs w:val="24"/>
              </w:rPr>
              <w:t>Женщины</w:t>
            </w:r>
          </w:p>
        </w:tc>
        <w:tc>
          <w:tcPr>
            <w:tcW w:w="757"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color w:val="000000"/>
                <w:sz w:val="24"/>
                <w:szCs w:val="24"/>
              </w:rPr>
            </w:pPr>
            <w:r>
              <w:rPr>
                <w:color w:val="000000"/>
                <w:sz w:val="24"/>
                <w:szCs w:val="24"/>
              </w:rPr>
              <w:t>%*</w:t>
            </w:r>
          </w:p>
        </w:tc>
        <w:tc>
          <w:tcPr>
            <w:tcW w:w="14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color w:val="000000"/>
                <w:sz w:val="24"/>
                <w:szCs w:val="24"/>
              </w:rPr>
            </w:pPr>
            <w:r>
              <w:rPr>
                <w:color w:val="000000"/>
                <w:sz w:val="24"/>
                <w:szCs w:val="24"/>
              </w:rPr>
              <w:t>Мужчины</w:t>
            </w:r>
          </w:p>
        </w:tc>
        <w:tc>
          <w:tcPr>
            <w:tcW w:w="756"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color w:val="000000"/>
                <w:sz w:val="24"/>
                <w:szCs w:val="24"/>
              </w:rPr>
            </w:pPr>
            <w:r>
              <w:rPr>
                <w:color w:val="000000"/>
                <w:sz w:val="24"/>
                <w:szCs w:val="24"/>
              </w:rPr>
              <w:t>%*</w:t>
            </w:r>
          </w:p>
        </w:tc>
        <w:tc>
          <w:tcPr>
            <w:tcW w:w="13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center"/>
              <w:rPr>
                <w:color w:val="000000"/>
                <w:sz w:val="24"/>
                <w:szCs w:val="24"/>
              </w:rPr>
            </w:pPr>
            <w:r>
              <w:rPr>
                <w:color w:val="000000"/>
                <w:sz w:val="24"/>
                <w:szCs w:val="24"/>
              </w:rPr>
              <w:t>Оба пола</w:t>
            </w:r>
          </w:p>
        </w:tc>
        <w:tc>
          <w:tcPr>
            <w:tcW w:w="886" w:type="dxa"/>
            <w:tcBorders>
              <w:top w:val="single" w:sz="4" w:space="0" w:color="000000"/>
              <w:left w:val="single" w:sz="4" w:space="0" w:color="000000"/>
              <w:bottom w:val="single" w:sz="4" w:space="0" w:color="000000"/>
              <w:right w:val="single" w:sz="4" w:space="0" w:color="000000"/>
            </w:tcBorders>
          </w:tcPr>
          <w:p>
            <w:pPr>
              <w:pStyle w:val="Normal"/>
              <w:widowControl w:val="false"/>
              <w:jc w:val="center"/>
              <w:rPr>
                <w:color w:val="000000"/>
                <w:sz w:val="24"/>
                <w:szCs w:val="24"/>
              </w:rPr>
            </w:pPr>
            <w:r>
              <w:rPr>
                <w:color w:val="000000"/>
                <w:sz w:val="24"/>
                <w:szCs w:val="24"/>
              </w:rPr>
              <w:t>%*</w:t>
            </w:r>
          </w:p>
        </w:tc>
      </w:tr>
      <w:tr>
        <w:trPr>
          <w:trHeight w:val="288" w:hRule="atLeast"/>
        </w:trPr>
        <w:tc>
          <w:tcPr>
            <w:tcW w:w="250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rPr>
                <w:color w:val="000000"/>
                <w:sz w:val="24"/>
                <w:szCs w:val="24"/>
              </w:rPr>
            </w:pPr>
            <w:r>
              <w:rPr>
                <w:color w:val="000000"/>
                <w:sz w:val="24"/>
                <w:szCs w:val="24"/>
              </w:rPr>
              <w:t>не пробовал(а)</w:t>
            </w:r>
          </w:p>
        </w:tc>
        <w:tc>
          <w:tcPr>
            <w:tcW w:w="172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97</w:t>
            </w:r>
          </w:p>
        </w:tc>
        <w:tc>
          <w:tcPr>
            <w:tcW w:w="757"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45,75</w:t>
            </w:r>
          </w:p>
        </w:tc>
        <w:tc>
          <w:tcPr>
            <w:tcW w:w="148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82</w:t>
            </w:r>
          </w:p>
        </w:tc>
        <w:tc>
          <w:tcPr>
            <w:tcW w:w="756"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39,61</w:t>
            </w:r>
          </w:p>
        </w:tc>
        <w:tc>
          <w:tcPr>
            <w:tcW w:w="138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179</w:t>
            </w:r>
          </w:p>
        </w:tc>
        <w:tc>
          <w:tcPr>
            <w:tcW w:w="886"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42,72</w:t>
            </w:r>
          </w:p>
        </w:tc>
      </w:tr>
      <w:tr>
        <w:trPr>
          <w:trHeight w:val="288" w:hRule="atLeast"/>
        </w:trPr>
        <w:tc>
          <w:tcPr>
            <w:tcW w:w="250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rPr>
                <w:color w:val="000000"/>
                <w:sz w:val="24"/>
                <w:szCs w:val="24"/>
              </w:rPr>
            </w:pPr>
            <w:r>
              <w:rPr>
                <w:color w:val="000000"/>
                <w:sz w:val="24"/>
                <w:szCs w:val="24"/>
              </w:rPr>
              <w:t>младше 10 лет</w:t>
            </w:r>
          </w:p>
        </w:tc>
        <w:tc>
          <w:tcPr>
            <w:tcW w:w="172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4</w:t>
            </w:r>
          </w:p>
        </w:tc>
        <w:tc>
          <w:tcPr>
            <w:tcW w:w="757"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1,89</w:t>
            </w:r>
          </w:p>
        </w:tc>
        <w:tc>
          <w:tcPr>
            <w:tcW w:w="148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11</w:t>
            </w:r>
          </w:p>
        </w:tc>
        <w:tc>
          <w:tcPr>
            <w:tcW w:w="756"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5,31</w:t>
            </w:r>
          </w:p>
        </w:tc>
        <w:tc>
          <w:tcPr>
            <w:tcW w:w="138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15</w:t>
            </w:r>
          </w:p>
        </w:tc>
        <w:tc>
          <w:tcPr>
            <w:tcW w:w="886"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3,58</w:t>
            </w:r>
          </w:p>
        </w:tc>
      </w:tr>
      <w:tr>
        <w:trPr>
          <w:trHeight w:val="288" w:hRule="atLeast"/>
        </w:trPr>
        <w:tc>
          <w:tcPr>
            <w:tcW w:w="250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rPr>
                <w:color w:val="000000"/>
                <w:sz w:val="24"/>
                <w:szCs w:val="24"/>
              </w:rPr>
            </w:pPr>
            <w:r>
              <w:rPr>
                <w:color w:val="000000"/>
                <w:sz w:val="24"/>
                <w:szCs w:val="24"/>
              </w:rPr>
              <w:t>10-15 лет</w:t>
            </w:r>
          </w:p>
        </w:tc>
        <w:tc>
          <w:tcPr>
            <w:tcW w:w="172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39</w:t>
            </w:r>
          </w:p>
        </w:tc>
        <w:tc>
          <w:tcPr>
            <w:tcW w:w="757"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18,40</w:t>
            </w:r>
          </w:p>
        </w:tc>
        <w:tc>
          <w:tcPr>
            <w:tcW w:w="148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54</w:t>
            </w:r>
          </w:p>
        </w:tc>
        <w:tc>
          <w:tcPr>
            <w:tcW w:w="756"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26,09</w:t>
            </w:r>
          </w:p>
        </w:tc>
        <w:tc>
          <w:tcPr>
            <w:tcW w:w="138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93</w:t>
            </w:r>
          </w:p>
        </w:tc>
        <w:tc>
          <w:tcPr>
            <w:tcW w:w="886"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22,20</w:t>
            </w:r>
          </w:p>
        </w:tc>
      </w:tr>
      <w:tr>
        <w:trPr>
          <w:trHeight w:val="288" w:hRule="atLeast"/>
        </w:trPr>
        <w:tc>
          <w:tcPr>
            <w:tcW w:w="250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rPr>
                <w:color w:val="000000"/>
                <w:sz w:val="24"/>
                <w:szCs w:val="24"/>
              </w:rPr>
            </w:pPr>
            <w:r>
              <w:rPr>
                <w:color w:val="000000"/>
                <w:sz w:val="24"/>
                <w:szCs w:val="24"/>
              </w:rPr>
              <w:t>16-18 лет</w:t>
            </w:r>
          </w:p>
        </w:tc>
        <w:tc>
          <w:tcPr>
            <w:tcW w:w="172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31</w:t>
            </w:r>
          </w:p>
        </w:tc>
        <w:tc>
          <w:tcPr>
            <w:tcW w:w="757"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14,62</w:t>
            </w:r>
          </w:p>
        </w:tc>
        <w:tc>
          <w:tcPr>
            <w:tcW w:w="148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43</w:t>
            </w:r>
          </w:p>
        </w:tc>
        <w:tc>
          <w:tcPr>
            <w:tcW w:w="756"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20,77</w:t>
            </w:r>
          </w:p>
        </w:tc>
        <w:tc>
          <w:tcPr>
            <w:tcW w:w="138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74</w:t>
            </w:r>
          </w:p>
        </w:tc>
        <w:tc>
          <w:tcPr>
            <w:tcW w:w="886"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17,66</w:t>
            </w:r>
          </w:p>
        </w:tc>
      </w:tr>
      <w:tr>
        <w:trPr>
          <w:trHeight w:val="288" w:hRule="atLeast"/>
        </w:trPr>
        <w:tc>
          <w:tcPr>
            <w:tcW w:w="250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rPr>
                <w:color w:val="000000"/>
                <w:sz w:val="24"/>
                <w:szCs w:val="24"/>
              </w:rPr>
            </w:pPr>
            <w:r>
              <w:rPr>
                <w:color w:val="000000"/>
                <w:sz w:val="24"/>
                <w:szCs w:val="24"/>
              </w:rPr>
              <w:t>старше 18 лет</w:t>
            </w:r>
          </w:p>
        </w:tc>
        <w:tc>
          <w:tcPr>
            <w:tcW w:w="172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41</w:t>
            </w:r>
          </w:p>
        </w:tc>
        <w:tc>
          <w:tcPr>
            <w:tcW w:w="757"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19,34</w:t>
            </w:r>
          </w:p>
        </w:tc>
        <w:tc>
          <w:tcPr>
            <w:tcW w:w="148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17</w:t>
            </w:r>
          </w:p>
        </w:tc>
        <w:tc>
          <w:tcPr>
            <w:tcW w:w="756"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8,21</w:t>
            </w:r>
          </w:p>
        </w:tc>
        <w:tc>
          <w:tcPr>
            <w:tcW w:w="138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jc w:val="right"/>
              <w:rPr>
                <w:color w:val="000000"/>
                <w:sz w:val="24"/>
                <w:szCs w:val="24"/>
              </w:rPr>
            </w:pPr>
            <w:r>
              <w:rPr>
                <w:color w:val="000000"/>
                <w:sz w:val="24"/>
                <w:szCs w:val="24"/>
              </w:rPr>
              <w:t>58</w:t>
            </w:r>
          </w:p>
        </w:tc>
        <w:tc>
          <w:tcPr>
            <w:tcW w:w="886" w:type="dxa"/>
            <w:tcBorders>
              <w:top w:val="single" w:sz="4" w:space="0" w:color="000000"/>
              <w:left w:val="single" w:sz="4" w:space="0" w:color="000000"/>
              <w:bottom w:val="single" w:sz="4" w:space="0" w:color="000000"/>
              <w:right w:val="single" w:sz="4" w:space="0" w:color="000000"/>
            </w:tcBorders>
          </w:tcPr>
          <w:p>
            <w:pPr>
              <w:pStyle w:val="Normal"/>
              <w:widowControl w:val="false"/>
              <w:jc w:val="right"/>
              <w:rPr>
                <w:color w:val="000000"/>
                <w:sz w:val="24"/>
                <w:szCs w:val="24"/>
              </w:rPr>
            </w:pPr>
            <w:r>
              <w:rPr>
                <w:color w:val="000000"/>
                <w:sz w:val="24"/>
                <w:szCs w:val="24"/>
              </w:rPr>
              <w:t>13,84</w:t>
            </w:r>
          </w:p>
        </w:tc>
      </w:tr>
      <w:tr>
        <w:trPr>
          <w:trHeight w:val="288" w:hRule="atLeast"/>
        </w:trPr>
        <w:tc>
          <w:tcPr>
            <w:tcW w:w="250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rPr>
                <w:color w:val="000000"/>
                <w:sz w:val="24"/>
                <w:szCs w:val="24"/>
              </w:rPr>
            </w:pPr>
            <w:r>
              <w:rPr>
                <w:color w:val="000000"/>
                <w:sz w:val="24"/>
                <w:szCs w:val="24"/>
              </w:rPr>
              <w:t>Итоговое значение</w:t>
            </w:r>
          </w:p>
        </w:tc>
        <w:tc>
          <w:tcPr>
            <w:tcW w:w="172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right"/>
              <w:rPr>
                <w:color w:val="000000"/>
                <w:sz w:val="24"/>
                <w:szCs w:val="24"/>
              </w:rPr>
            </w:pPr>
            <w:r>
              <w:rPr>
                <w:color w:val="000000"/>
                <w:sz w:val="24"/>
                <w:szCs w:val="24"/>
              </w:rPr>
              <w:t xml:space="preserve">212 </w:t>
            </w:r>
          </w:p>
        </w:tc>
        <w:tc>
          <w:tcPr>
            <w:tcW w:w="75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right"/>
              <w:rPr>
                <w:color w:val="000000"/>
                <w:sz w:val="24"/>
                <w:szCs w:val="24"/>
              </w:rPr>
            </w:pPr>
            <w:r>
              <w:rPr>
                <w:color w:val="000000"/>
                <w:sz w:val="24"/>
                <w:szCs w:val="24"/>
              </w:rPr>
              <w:t>100</w:t>
            </w:r>
          </w:p>
        </w:tc>
        <w:tc>
          <w:tcPr>
            <w:tcW w:w="14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right"/>
              <w:rPr>
                <w:color w:val="000000"/>
                <w:sz w:val="24"/>
                <w:szCs w:val="24"/>
              </w:rPr>
            </w:pPr>
            <w:r>
              <w:rPr>
                <w:color w:val="000000"/>
                <w:sz w:val="24"/>
                <w:szCs w:val="24"/>
              </w:rPr>
              <w:t>207</w:t>
            </w:r>
          </w:p>
        </w:tc>
        <w:tc>
          <w:tcPr>
            <w:tcW w:w="75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right"/>
              <w:rPr>
                <w:color w:val="000000"/>
                <w:sz w:val="24"/>
                <w:szCs w:val="24"/>
              </w:rPr>
            </w:pPr>
            <w:r>
              <w:rPr>
                <w:color w:val="000000"/>
                <w:sz w:val="24"/>
                <w:szCs w:val="24"/>
              </w:rPr>
              <w:t>100</w:t>
            </w:r>
          </w:p>
        </w:tc>
        <w:tc>
          <w:tcPr>
            <w:tcW w:w="138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right"/>
              <w:rPr>
                <w:color w:val="000000"/>
                <w:sz w:val="24"/>
                <w:szCs w:val="24"/>
              </w:rPr>
            </w:pPr>
            <w:r>
              <w:rPr>
                <w:color w:val="000000"/>
                <w:sz w:val="24"/>
                <w:szCs w:val="24"/>
              </w:rPr>
              <w:t>419</w:t>
            </w:r>
          </w:p>
        </w:tc>
        <w:tc>
          <w:tcPr>
            <w:tcW w:w="8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jc w:val="right"/>
              <w:rPr>
                <w:color w:val="000000"/>
                <w:sz w:val="24"/>
                <w:szCs w:val="24"/>
              </w:rPr>
            </w:pPr>
            <w:r>
              <w:rPr>
                <w:color w:val="000000"/>
                <w:sz w:val="24"/>
                <w:szCs w:val="24"/>
              </w:rPr>
              <w:t>100</w:t>
            </w:r>
          </w:p>
        </w:tc>
      </w:tr>
    </w:tbl>
    <w:p>
      <w:pPr>
        <w:pStyle w:val="Normal"/>
        <w:jc w:val="both"/>
        <w:rPr>
          <w:sz w:val="18"/>
          <w:szCs w:val="18"/>
        </w:rPr>
      </w:pPr>
      <w:r>
        <w:rPr>
          <w:sz w:val="18"/>
          <w:szCs w:val="18"/>
        </w:rPr>
        <w:t>* - удельный вес в общем числе опрошенных соответствующего пола</w:t>
      </w:r>
    </w:p>
    <w:p>
      <w:pPr>
        <w:pStyle w:val="Normal"/>
        <w:ind w:firstLine="709"/>
        <w:jc w:val="both"/>
        <w:rPr>
          <w:sz w:val="28"/>
          <w:szCs w:val="28"/>
        </w:rPr>
      </w:pPr>
      <w:r>
        <w:rPr>
          <w:sz w:val="28"/>
          <w:szCs w:val="28"/>
        </w:rPr>
      </w:r>
    </w:p>
    <w:p>
      <w:pPr>
        <w:pStyle w:val="Normal"/>
        <w:ind w:firstLine="709"/>
        <w:jc w:val="both"/>
        <w:rPr/>
      </w:pPr>
      <w:r>
        <w:rPr>
          <w:sz w:val="28"/>
          <w:szCs w:val="28"/>
        </w:rPr>
        <w:t xml:space="preserve">Среди 165 курильщиков </w:t>
      </w:r>
      <w:r>
        <w:rPr>
          <w:sz w:val="28"/>
          <w:szCs w:val="28"/>
          <w:shd w:fill="FFFFFF" w:val="clear"/>
        </w:rPr>
        <w:t>(39,38</w:t>
      </w:r>
      <w:r>
        <w:rPr>
          <w:sz w:val="28"/>
          <w:szCs w:val="28"/>
        </w:rPr>
        <w:t>% из числа опрошенных):</w:t>
      </w:r>
    </w:p>
    <w:p>
      <w:pPr>
        <w:pStyle w:val="Style28"/>
        <w:numPr>
          <w:ilvl w:val="0"/>
          <w:numId w:val="7"/>
        </w:numPr>
        <w:spacing w:lineRule="auto" w:line="240" w:before="0" w:after="0"/>
        <w:ind w:left="0" w:right="0" w:firstLine="709"/>
        <w:contextualSpacing/>
        <w:jc w:val="both"/>
        <w:rPr>
          <w:sz w:val="28"/>
          <w:szCs w:val="28"/>
        </w:rPr>
      </w:pPr>
      <w:r>
        <w:rPr>
          <w:sz w:val="28"/>
          <w:szCs w:val="28"/>
        </w:rPr>
        <w:t>до 10 сигарет выкуривают 68 человек (41,21% из числа курильщиков), из них 38 женщин (51,35%) и 30 мужчин (32,97%);</w:t>
      </w:r>
    </w:p>
    <w:p>
      <w:pPr>
        <w:pStyle w:val="Style28"/>
        <w:numPr>
          <w:ilvl w:val="0"/>
          <w:numId w:val="7"/>
        </w:numPr>
        <w:spacing w:lineRule="auto" w:line="240" w:before="0" w:after="0"/>
        <w:ind w:left="0" w:right="0" w:firstLine="709"/>
        <w:contextualSpacing/>
        <w:jc w:val="both"/>
        <w:rPr>
          <w:sz w:val="28"/>
          <w:szCs w:val="28"/>
        </w:rPr>
      </w:pPr>
      <w:r>
        <w:rPr>
          <w:sz w:val="28"/>
          <w:szCs w:val="28"/>
        </w:rPr>
        <w:t>по 11-20 сигарет выкуривают 57 человек (34,55% из числа курильщиков), из них 27 женщин (36,49%) и 30 мужчин (32,97%);</w:t>
      </w:r>
    </w:p>
    <w:p>
      <w:pPr>
        <w:pStyle w:val="Style28"/>
        <w:numPr>
          <w:ilvl w:val="0"/>
          <w:numId w:val="7"/>
        </w:numPr>
        <w:spacing w:lineRule="auto" w:line="240" w:before="0" w:after="0"/>
        <w:ind w:left="0" w:right="0" w:firstLine="709"/>
        <w:contextualSpacing/>
        <w:jc w:val="both"/>
        <w:rPr/>
      </w:pPr>
      <w:r>
        <w:rPr>
          <w:color w:val="000000"/>
          <w:sz w:val="28"/>
          <w:szCs w:val="28"/>
        </w:rPr>
        <w:t>по 21-30 сигарет</w:t>
      </w:r>
      <w:r>
        <w:rPr>
          <w:sz w:val="28"/>
          <w:szCs w:val="28"/>
        </w:rPr>
        <w:t xml:space="preserve"> выкуривают 30 человек (18,18%), из них 7 женщин (9,46%) и 23 мужчины (25,27%);</w:t>
      </w:r>
    </w:p>
    <w:p>
      <w:pPr>
        <w:pStyle w:val="Style28"/>
        <w:numPr>
          <w:ilvl w:val="0"/>
          <w:numId w:val="7"/>
        </w:numPr>
        <w:spacing w:lineRule="auto" w:line="240" w:before="0" w:after="0"/>
        <w:ind w:left="0" w:right="0" w:firstLine="709"/>
        <w:contextualSpacing/>
        <w:jc w:val="both"/>
        <w:rPr/>
      </w:pPr>
      <w:r>
        <w:rPr>
          <w:color w:val="000000"/>
          <w:sz w:val="28"/>
          <w:szCs w:val="28"/>
        </w:rPr>
        <w:t>31 и более сигарет</w:t>
      </w:r>
      <w:r>
        <w:rPr>
          <w:sz w:val="28"/>
          <w:szCs w:val="28"/>
        </w:rPr>
        <w:t xml:space="preserve"> выкуривают 10 человек (6,06%), из них 2 женщины (2,70%) и 8 мужчин (8,79%).</w:t>
      </w:r>
    </w:p>
    <w:p>
      <w:pPr>
        <w:pStyle w:val="Style28"/>
        <w:spacing w:lineRule="auto" w:line="240" w:before="0" w:after="0"/>
        <w:ind w:left="0" w:right="0" w:firstLine="567"/>
        <w:contextualSpacing/>
        <w:jc w:val="both"/>
        <w:rPr>
          <w:sz w:val="28"/>
          <w:szCs w:val="28"/>
        </w:rPr>
      </w:pPr>
      <w:r>
        <w:rPr>
          <w:sz w:val="28"/>
          <w:szCs w:val="28"/>
        </w:rPr>
        <w:t>Наибольшая доля из числа курильщиков отмечают количество выкуриваемых сигарет в день «до 10 сигарет» - 41,21 %.</w:t>
      </w:r>
    </w:p>
    <w:p>
      <w:pPr>
        <w:pStyle w:val="Normal"/>
        <w:ind w:firstLine="567"/>
        <w:jc w:val="both"/>
        <w:rPr>
          <w:sz w:val="28"/>
          <w:szCs w:val="28"/>
        </w:rPr>
      </w:pPr>
      <w:r>
        <w:rPr>
          <w:sz w:val="28"/>
          <w:szCs w:val="28"/>
        </w:rPr>
        <w:t>Пытались бросить курить в течение последних 12 месяцев – 71 человек (16,95%), из них 34 женщины (16,04%) и 37 мужчин (17,87%). Не пытались – 124 человека (29,59%), из них 54 женщины (25,47%) и 70 мужчин (33,82%). Согласно данным опроса, 68 респондентов (95,77%), пытавшихся бросить курить, ответили положительно на вопрос «Курите ли Вы в настоящее время?», 3 (4,23%) – отрицательно.</w:t>
      </w:r>
    </w:p>
    <w:p>
      <w:pPr>
        <w:pStyle w:val="Normal"/>
        <w:numPr>
          <w:ilvl w:val="1"/>
          <w:numId w:val="6"/>
        </w:numPr>
        <w:jc w:val="center"/>
        <w:rPr>
          <w:color w:val="000000"/>
          <w:sz w:val="28"/>
          <w:szCs w:val="28"/>
        </w:rPr>
      </w:pPr>
      <w:r>
        <w:rPr>
          <w:color w:val="000000"/>
          <w:sz w:val="28"/>
          <w:szCs w:val="28"/>
        </w:rPr>
        <w:t xml:space="preserve">    </w:t>
      </w:r>
      <w:r>
        <w:rPr>
          <w:color w:val="000000"/>
          <w:sz w:val="28"/>
          <w:szCs w:val="28"/>
        </w:rPr>
        <w:t>Потребление алкоголя</w:t>
      </w:r>
    </w:p>
    <w:p>
      <w:pPr>
        <w:pStyle w:val="Normal"/>
        <w:jc w:val="both"/>
        <w:rPr>
          <w:color w:val="000000"/>
          <w:sz w:val="24"/>
          <w:szCs w:val="24"/>
        </w:rPr>
      </w:pPr>
      <w:r>
        <w:rPr>
          <w:color w:val="000000"/>
          <w:sz w:val="24"/>
          <w:szCs w:val="24"/>
        </w:rPr>
      </w:r>
    </w:p>
    <w:p>
      <w:pPr>
        <w:pStyle w:val="Normal"/>
        <w:ind w:firstLine="709"/>
        <w:jc w:val="both"/>
        <w:rPr>
          <w:sz w:val="28"/>
          <w:szCs w:val="28"/>
        </w:rPr>
      </w:pPr>
      <w:r>
        <w:rPr>
          <w:sz w:val="28"/>
          <w:szCs w:val="28"/>
        </w:rPr>
        <w:t xml:space="preserve">По данным анкетирования населения трудоспособного возраста ГБУЗ «Кузбасский центр общественного здоровья и медицинской профилактики» на вопрос «Как часто вы употребляете напитки с содержанием алкоголя?» получили ответы: </w:t>
      </w:r>
    </w:p>
    <w:p>
      <w:pPr>
        <w:pStyle w:val="Style28"/>
        <w:numPr>
          <w:ilvl w:val="0"/>
          <w:numId w:val="7"/>
        </w:numPr>
        <w:spacing w:lineRule="auto" w:line="240" w:before="0" w:after="0"/>
        <w:ind w:left="0" w:right="0" w:firstLine="709"/>
        <w:contextualSpacing/>
        <w:jc w:val="both"/>
        <w:rPr>
          <w:sz w:val="28"/>
          <w:szCs w:val="28"/>
        </w:rPr>
      </w:pPr>
      <w:r>
        <w:rPr>
          <w:sz w:val="28"/>
          <w:szCs w:val="28"/>
        </w:rPr>
        <w:t>«не употребляют» ответили 109 респондентов (26,01%), из них 52 женщины (24,53%) и 57 мужчин (27,54%);</w:t>
      </w:r>
    </w:p>
    <w:p>
      <w:pPr>
        <w:pStyle w:val="Style28"/>
        <w:numPr>
          <w:ilvl w:val="0"/>
          <w:numId w:val="7"/>
        </w:numPr>
        <w:spacing w:lineRule="auto" w:line="240" w:before="0" w:after="0"/>
        <w:ind w:left="0" w:right="0" w:firstLine="709"/>
        <w:contextualSpacing/>
        <w:jc w:val="both"/>
        <w:rPr>
          <w:sz w:val="28"/>
          <w:szCs w:val="28"/>
        </w:rPr>
      </w:pPr>
      <w:r>
        <w:rPr>
          <w:sz w:val="28"/>
          <w:szCs w:val="28"/>
        </w:rPr>
        <w:t>«примерно раз в месяц или реже» ответили 98 респондентов (23,39%), из них 61 женщина (28,77%) и 37 мужчин (17,87%);</w:t>
      </w:r>
    </w:p>
    <w:p>
      <w:pPr>
        <w:pStyle w:val="Style28"/>
        <w:numPr>
          <w:ilvl w:val="0"/>
          <w:numId w:val="7"/>
        </w:numPr>
        <w:spacing w:lineRule="auto" w:line="240" w:before="0" w:after="0"/>
        <w:ind w:left="0" w:right="0" w:firstLine="709"/>
        <w:contextualSpacing/>
        <w:jc w:val="both"/>
        <w:rPr>
          <w:sz w:val="28"/>
          <w:szCs w:val="28"/>
        </w:rPr>
      </w:pPr>
      <w:r>
        <w:rPr>
          <w:sz w:val="28"/>
          <w:szCs w:val="28"/>
        </w:rPr>
        <w:t>«2-4 раза в месяц» - 91 респондент (21,72%), из них 43 женщины (20,28%) и 48 мужчин (23,19%);</w:t>
      </w:r>
    </w:p>
    <w:p>
      <w:pPr>
        <w:pStyle w:val="Style28"/>
        <w:numPr>
          <w:ilvl w:val="0"/>
          <w:numId w:val="7"/>
        </w:numPr>
        <w:spacing w:lineRule="auto" w:line="240" w:before="0" w:after="0"/>
        <w:ind w:left="0" w:right="0" w:firstLine="709"/>
        <w:contextualSpacing/>
        <w:jc w:val="both"/>
        <w:rPr>
          <w:color w:val="000000"/>
          <w:sz w:val="28"/>
          <w:szCs w:val="28"/>
        </w:rPr>
      </w:pPr>
      <w:r>
        <w:rPr>
          <w:color w:val="000000"/>
          <w:sz w:val="28"/>
          <w:szCs w:val="28"/>
        </w:rPr>
        <w:t>«2-3 раза в неделю» - 83 респондента (19,81%), из них 36 женщин (16,98%) и 47 мужчин (22,71%);</w:t>
      </w:r>
    </w:p>
    <w:p>
      <w:pPr>
        <w:pStyle w:val="Style28"/>
        <w:numPr>
          <w:ilvl w:val="0"/>
          <w:numId w:val="7"/>
        </w:numPr>
        <w:spacing w:lineRule="auto" w:line="240" w:before="0" w:after="0"/>
        <w:ind w:left="0" w:right="0" w:firstLine="709"/>
        <w:contextualSpacing/>
        <w:jc w:val="both"/>
        <w:rPr>
          <w:sz w:val="28"/>
          <w:szCs w:val="28"/>
        </w:rPr>
      </w:pPr>
      <w:r>
        <w:rPr>
          <w:sz w:val="28"/>
          <w:szCs w:val="28"/>
        </w:rPr>
        <w:t>«более 4-х раз в неделю» - 38 респондентов (9,07%), из них 20 женщин (9,43%) и 18 мужчин (8,70%).</w:t>
      </w:r>
    </w:p>
    <w:p>
      <w:pPr>
        <w:pStyle w:val="Normal"/>
        <w:ind w:firstLine="567"/>
        <w:jc w:val="both"/>
        <w:rPr/>
      </w:pPr>
      <w:r>
        <w:rPr>
          <w:sz w:val="28"/>
          <w:szCs w:val="28"/>
        </w:rPr>
        <w:t>По данным опроса установлено, что 310 человек (73,99% из всех опрошенных) ответили, что употребляют алкоголь: из них 160 женщин (75,47% опрошенных женщин) и 150 мужчин (72,46% опрошенных мужчин). Наиболее распространена среди опрошенных кратность употребления алкоголя «</w:t>
      </w:r>
      <w:r>
        <w:rPr>
          <w:color w:val="000000"/>
          <w:sz w:val="28"/>
          <w:szCs w:val="28"/>
        </w:rPr>
        <w:t>примерно раз в месяц или реже» - 98 респондентов (31,61% употребляющих алкоголь). Среди женщин наибольшая доля тех, у кого кратность потребления «примерно раз в месяц или реже» приходится на возраст «20-29 лет» (19 человек – 11,88%), среди мужчин на возраст «30-39 лет» (11 человек – 7,33%).</w:t>
      </w:r>
    </w:p>
    <w:p>
      <w:pPr>
        <w:pStyle w:val="Normal"/>
        <w:ind w:firstLine="709"/>
        <w:jc w:val="both"/>
        <w:rPr>
          <w:sz w:val="28"/>
          <w:szCs w:val="28"/>
        </w:rPr>
      </w:pPr>
      <w:r>
        <w:rPr>
          <w:sz w:val="28"/>
          <w:szCs w:val="28"/>
        </w:rPr>
        <w:t xml:space="preserve">На вопрос «В течение последних 12 месяцев как часто Вы оказывались в ситуации, когда Вы начали принимать алкоголь и не могли остановиться?» ответы распределились следующим образом: </w:t>
      </w:r>
    </w:p>
    <w:p>
      <w:pPr>
        <w:pStyle w:val="Style28"/>
        <w:numPr>
          <w:ilvl w:val="0"/>
          <w:numId w:val="7"/>
        </w:numPr>
        <w:spacing w:lineRule="auto" w:line="240" w:before="0" w:after="0"/>
        <w:ind w:left="0" w:right="0" w:firstLine="709"/>
        <w:contextualSpacing/>
        <w:jc w:val="both"/>
        <w:rPr>
          <w:sz w:val="28"/>
          <w:szCs w:val="28"/>
        </w:rPr>
      </w:pPr>
      <w:r>
        <w:rPr>
          <w:sz w:val="28"/>
          <w:szCs w:val="28"/>
        </w:rPr>
        <w:t>«ежедневно или почти ежедневно» ответили 14 человек (3,34%), из них 2 мужчин (0,96%);</w:t>
      </w:r>
    </w:p>
    <w:p>
      <w:pPr>
        <w:pStyle w:val="Style28"/>
        <w:numPr>
          <w:ilvl w:val="0"/>
          <w:numId w:val="7"/>
        </w:numPr>
        <w:spacing w:lineRule="auto" w:line="240" w:before="0" w:after="0"/>
        <w:ind w:left="0" w:right="0" w:firstLine="709"/>
        <w:contextualSpacing/>
        <w:jc w:val="both"/>
        <w:rPr>
          <w:sz w:val="28"/>
          <w:szCs w:val="28"/>
        </w:rPr>
      </w:pPr>
      <w:r>
        <w:rPr>
          <w:sz w:val="28"/>
          <w:szCs w:val="28"/>
        </w:rPr>
        <w:t>«еженедельно» - 5 человек (1,17 %), из них 2 женщин (0,92 %) и 3 мужчин (1,44 %);</w:t>
      </w:r>
    </w:p>
    <w:p>
      <w:pPr>
        <w:pStyle w:val="Style28"/>
        <w:numPr>
          <w:ilvl w:val="0"/>
          <w:numId w:val="7"/>
        </w:numPr>
        <w:spacing w:lineRule="auto" w:line="240" w:before="0" w:after="0"/>
        <w:ind w:left="0" w:right="0" w:firstLine="709"/>
        <w:contextualSpacing/>
        <w:jc w:val="both"/>
        <w:rPr>
          <w:sz w:val="28"/>
          <w:szCs w:val="28"/>
        </w:rPr>
      </w:pPr>
      <w:r>
        <w:rPr>
          <w:sz w:val="28"/>
          <w:szCs w:val="28"/>
        </w:rPr>
        <w:t>«ежемесячно» - 8 человек (1,88 %), из них 1 женщина (0,46%) и 7 мужчин (3,37%);</w:t>
      </w:r>
    </w:p>
    <w:p>
      <w:pPr>
        <w:pStyle w:val="Style28"/>
        <w:numPr>
          <w:ilvl w:val="0"/>
          <w:numId w:val="7"/>
        </w:numPr>
        <w:spacing w:lineRule="auto" w:line="240" w:before="0" w:after="0"/>
        <w:ind w:left="0" w:right="0" w:firstLine="709"/>
        <w:contextualSpacing/>
        <w:jc w:val="both"/>
        <w:rPr>
          <w:sz w:val="28"/>
          <w:szCs w:val="28"/>
        </w:rPr>
      </w:pPr>
      <w:r>
        <w:rPr>
          <w:sz w:val="28"/>
          <w:szCs w:val="28"/>
        </w:rPr>
        <w:t>«реже чем раз в месяц» - 28 человек (6,57 %), из них 6 женщин (2,75 %) и 22 мужчины (10,58 %);</w:t>
      </w:r>
    </w:p>
    <w:p>
      <w:pPr>
        <w:pStyle w:val="Style28"/>
        <w:numPr>
          <w:ilvl w:val="0"/>
          <w:numId w:val="7"/>
        </w:numPr>
        <w:spacing w:lineRule="auto" w:line="240" w:before="0" w:after="0"/>
        <w:ind w:left="0" w:right="0" w:firstLine="709"/>
        <w:contextualSpacing/>
        <w:jc w:val="both"/>
        <w:rPr>
          <w:sz w:val="28"/>
          <w:szCs w:val="28"/>
        </w:rPr>
      </w:pPr>
      <w:r>
        <w:rPr>
          <w:sz w:val="28"/>
          <w:szCs w:val="28"/>
        </w:rPr>
        <w:t>«никогда» - 383 человека (89,91 %), из них 209 женщин (95,87%) и 174 мужчины (83,65%).</w:t>
      </w:r>
    </w:p>
    <w:p>
      <w:pPr>
        <w:pStyle w:val="Style28"/>
        <w:spacing w:lineRule="auto" w:line="240" w:before="0" w:after="0"/>
        <w:contextualSpacing/>
        <w:jc w:val="both"/>
        <w:rPr>
          <w:sz w:val="28"/>
          <w:szCs w:val="28"/>
        </w:rPr>
      </w:pPr>
      <w:r>
        <w:rPr>
          <w:sz w:val="28"/>
          <w:szCs w:val="28"/>
        </w:rPr>
      </w:r>
    </w:p>
    <w:p>
      <w:pPr>
        <w:pStyle w:val="Style28"/>
        <w:spacing w:lineRule="auto" w:line="240" w:before="0" w:after="0"/>
        <w:ind w:left="0" w:right="0" w:firstLine="567"/>
        <w:contextualSpacing/>
        <w:jc w:val="both"/>
        <w:rPr>
          <w:sz w:val="28"/>
          <w:szCs w:val="28"/>
        </w:rPr>
      </w:pPr>
      <w:r>
        <w:rPr>
          <w:sz w:val="28"/>
          <w:szCs w:val="28"/>
        </w:rPr>
        <w:t>Администрацией Топкинского муниципального округа составлена схема расположения продажи алкогольной продукции и фруктов в г. Топки. Черным цветом обозначены пункты продажи пива, красным – сетевые магазины «Бристоль» и «Красное-белое», зеленым – пункты продажи фруктов и овощей.</w:t>
      </w:r>
    </w:p>
    <w:p>
      <w:pPr>
        <w:pStyle w:val="Style28"/>
        <w:spacing w:lineRule="auto" w:line="240" w:before="0" w:after="0"/>
        <w:ind w:left="0" w:right="0" w:firstLine="567"/>
        <w:contextualSpacing/>
        <w:jc w:val="both"/>
        <w:rPr>
          <w:i/>
          <w:i/>
          <w:iCs/>
          <w:sz w:val="28"/>
          <w:szCs w:val="28"/>
        </w:rPr>
      </w:pPr>
      <w:r>
        <w:rPr>
          <w:i/>
          <w:iCs/>
          <w:sz w:val="28"/>
          <w:szCs w:val="28"/>
        </w:rPr>
      </w:r>
    </w:p>
    <w:p>
      <w:pPr>
        <w:pStyle w:val="Style28"/>
        <w:spacing w:lineRule="auto" w:line="240" w:before="0" w:after="0"/>
        <w:ind w:left="0" w:right="0" w:firstLine="567"/>
        <w:contextualSpacing/>
        <w:jc w:val="both"/>
        <w:rPr>
          <w:i/>
          <w:i/>
          <w:iCs/>
          <w:sz w:val="28"/>
          <w:szCs w:val="28"/>
        </w:rPr>
      </w:pPr>
      <w:r>
        <w:rPr>
          <w:i/>
          <w:iCs/>
          <w:sz w:val="28"/>
          <w:szCs w:val="28"/>
        </w:rPr>
      </w:r>
    </w:p>
    <w:p>
      <w:pPr>
        <w:pStyle w:val="Style28"/>
        <w:spacing w:lineRule="auto" w:line="240" w:before="0" w:after="0"/>
        <w:ind w:left="0" w:right="0" w:firstLine="567"/>
        <w:contextualSpacing/>
        <w:jc w:val="both"/>
        <w:rPr>
          <w:i/>
          <w:i/>
          <w:iCs/>
          <w:sz w:val="28"/>
          <w:szCs w:val="28"/>
        </w:rPr>
      </w:pPr>
      <w:r>
        <w:rPr>
          <w:i/>
          <w:iCs/>
          <w:sz w:val="28"/>
          <w:szCs w:val="28"/>
        </w:rPr>
      </w:r>
    </w:p>
    <w:p>
      <w:pPr>
        <w:pStyle w:val="Style28"/>
        <w:spacing w:lineRule="auto" w:line="240" w:before="0" w:after="0"/>
        <w:ind w:left="0" w:right="0" w:firstLine="567"/>
        <w:contextualSpacing/>
        <w:jc w:val="both"/>
        <w:rPr>
          <w:i/>
          <w:i/>
          <w:iCs/>
          <w:sz w:val="28"/>
          <w:szCs w:val="28"/>
        </w:rPr>
      </w:pPr>
      <w:r>
        <w:drawing>
          <wp:anchor behindDoc="1" distT="0" distB="0" distL="114935" distR="114935" simplePos="0" locked="0" layoutInCell="0" allowOverlap="1" relativeHeight="5">
            <wp:simplePos x="0" y="0"/>
            <wp:positionH relativeFrom="column">
              <wp:posOffset>1061720</wp:posOffset>
            </wp:positionH>
            <wp:positionV relativeFrom="paragraph">
              <wp:posOffset>178435</wp:posOffset>
            </wp:positionV>
            <wp:extent cx="4568825" cy="3713480"/>
            <wp:effectExtent l="0" t="0" r="0" b="0"/>
            <wp:wrapNone/>
            <wp:docPr id="2"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descr=""/>
                    <pic:cNvPicPr>
                      <a:picLocks noChangeAspect="1" noChangeArrowheads="1"/>
                    </pic:cNvPicPr>
                  </pic:nvPicPr>
                  <pic:blipFill>
                    <a:blip r:embed="rId3"/>
                    <a:srcRect l="7135" t="4960" r="8308" b="-20"/>
                    <a:stretch>
                      <a:fillRect/>
                    </a:stretch>
                  </pic:blipFill>
                  <pic:spPr bwMode="auto">
                    <a:xfrm>
                      <a:off x="0" y="0"/>
                      <a:ext cx="4568825" cy="3713480"/>
                    </a:xfrm>
                    <a:prstGeom prst="rect">
                      <a:avLst/>
                    </a:prstGeom>
                  </pic:spPr>
                </pic:pic>
              </a:graphicData>
            </a:graphic>
          </wp:anchor>
        </w:drawing>
      </w:r>
      <w:r>
        <w:rPr>
          <w:i/>
          <w:iCs/>
          <w:sz w:val="28"/>
          <w:szCs w:val="28"/>
        </w:rPr>
        <w:t>Рисунок 1.</w:t>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r>
    </w:p>
    <w:p>
      <w:pPr>
        <w:pStyle w:val="Normal"/>
        <w:ind w:firstLine="708"/>
        <w:jc w:val="center"/>
        <w:rPr>
          <w:sz w:val="28"/>
          <w:szCs w:val="28"/>
        </w:rPr>
      </w:pPr>
      <w:r>
        <w:rPr>
          <w:sz w:val="28"/>
          <w:szCs w:val="28"/>
        </w:rPr>
        <w:t>6.4   Питание</w:t>
      </w:r>
    </w:p>
    <w:p>
      <w:pPr>
        <w:pStyle w:val="Normal"/>
        <w:ind w:firstLine="708"/>
        <w:jc w:val="center"/>
        <w:rPr>
          <w:sz w:val="28"/>
          <w:szCs w:val="28"/>
        </w:rPr>
      </w:pPr>
      <w:r>
        <w:rPr>
          <w:sz w:val="28"/>
          <w:szCs w:val="28"/>
        </w:rPr>
      </w:r>
    </w:p>
    <w:p>
      <w:pPr>
        <w:pStyle w:val="Normal"/>
        <w:ind w:firstLine="708"/>
        <w:jc w:val="both"/>
        <w:rPr>
          <w:sz w:val="28"/>
          <w:szCs w:val="28"/>
        </w:rPr>
      </w:pPr>
      <w:r>
        <w:rPr>
          <w:sz w:val="28"/>
          <w:szCs w:val="28"/>
        </w:rPr>
        <w:t>ГБУЗ «Кузбасский центр общественного здоровья и медицинской профилактики» проведено анкетирование по изучению питания населения на территории Топкинского муниципального округа.</w:t>
      </w:r>
    </w:p>
    <w:p>
      <w:pPr>
        <w:pStyle w:val="Normal"/>
        <w:ind w:firstLine="708"/>
        <w:jc w:val="center"/>
        <w:rPr>
          <w:b/>
          <w:b/>
          <w:bCs/>
          <w:sz w:val="28"/>
          <w:szCs w:val="28"/>
          <w:u w:val="single"/>
        </w:rPr>
      </w:pPr>
      <w:r>
        <w:rPr>
          <w:b/>
          <w:bCs/>
          <w:sz w:val="28"/>
          <w:szCs w:val="28"/>
          <w:u w:val="single"/>
        </w:rPr>
      </w:r>
    </w:p>
    <w:p>
      <w:pPr>
        <w:pStyle w:val="Normal"/>
        <w:ind w:firstLine="709"/>
        <w:jc w:val="both"/>
        <w:rPr>
          <w:sz w:val="28"/>
          <w:szCs w:val="28"/>
        </w:rPr>
      </w:pPr>
      <w:r>
        <w:rPr>
          <w:sz w:val="28"/>
          <w:szCs w:val="28"/>
        </w:rPr>
        <w:t>На вопрос «Сколько дней в типичную неделю Вы обычно употребляете фрукты?» ответы распределились следующим образом:</w:t>
      </w:r>
    </w:p>
    <w:p>
      <w:pPr>
        <w:pStyle w:val="Style28"/>
        <w:numPr>
          <w:ilvl w:val="0"/>
          <w:numId w:val="7"/>
        </w:numPr>
        <w:spacing w:lineRule="auto" w:line="240" w:before="0" w:after="0"/>
        <w:ind w:left="0" w:right="0" w:firstLine="709"/>
        <w:contextualSpacing/>
        <w:jc w:val="both"/>
        <w:rPr>
          <w:sz w:val="28"/>
          <w:szCs w:val="28"/>
        </w:rPr>
      </w:pPr>
      <w:r>
        <w:rPr>
          <w:sz w:val="28"/>
          <w:szCs w:val="28"/>
        </w:rPr>
        <w:t>«не едят» - 44 человека (10,50%), из них 11 женщин (5,19%) и 33 мужчины (15,94%);</w:t>
      </w:r>
    </w:p>
    <w:p>
      <w:pPr>
        <w:pStyle w:val="Style28"/>
        <w:numPr>
          <w:ilvl w:val="0"/>
          <w:numId w:val="7"/>
        </w:numPr>
        <w:spacing w:lineRule="auto" w:line="240" w:before="0" w:after="0"/>
        <w:ind w:left="0" w:right="0" w:firstLine="709"/>
        <w:contextualSpacing/>
        <w:jc w:val="both"/>
        <w:rPr>
          <w:sz w:val="28"/>
          <w:szCs w:val="28"/>
        </w:rPr>
      </w:pPr>
      <w:r>
        <w:rPr>
          <w:sz w:val="28"/>
          <w:szCs w:val="28"/>
        </w:rPr>
        <w:t>«1-2 дня в неделю» ответили – 64 человека (15,27%), из них 38 женщин (17,92%) и 26 мужчин (12,56%);</w:t>
      </w:r>
    </w:p>
    <w:p>
      <w:pPr>
        <w:pStyle w:val="Style28"/>
        <w:numPr>
          <w:ilvl w:val="0"/>
          <w:numId w:val="7"/>
        </w:numPr>
        <w:spacing w:lineRule="auto" w:line="240" w:before="0" w:after="0"/>
        <w:ind w:left="0" w:right="0" w:firstLine="709"/>
        <w:contextualSpacing/>
        <w:jc w:val="both"/>
        <w:rPr>
          <w:sz w:val="28"/>
          <w:szCs w:val="28"/>
        </w:rPr>
      </w:pPr>
      <w:r>
        <w:rPr>
          <w:sz w:val="28"/>
          <w:szCs w:val="28"/>
        </w:rPr>
        <w:t>«3-4 дня в неделю» - 85 человек (20,29%), из них 51 женщина (24,06%) и 34 мужчины (16,43%);</w:t>
      </w:r>
    </w:p>
    <w:p>
      <w:pPr>
        <w:pStyle w:val="Style28"/>
        <w:numPr>
          <w:ilvl w:val="0"/>
          <w:numId w:val="7"/>
        </w:numPr>
        <w:spacing w:lineRule="auto" w:line="240" w:before="0" w:after="0"/>
        <w:ind w:left="0" w:right="0" w:firstLine="709"/>
        <w:contextualSpacing/>
        <w:jc w:val="both"/>
        <w:rPr>
          <w:sz w:val="28"/>
          <w:szCs w:val="28"/>
        </w:rPr>
      </w:pPr>
      <w:r>
        <w:rPr>
          <w:sz w:val="28"/>
          <w:szCs w:val="28"/>
        </w:rPr>
        <w:t>«более 5 дней в неделю» - 107 человек (25,78%), из них 68 женщин (32,08%) и 40 мужчин (19,32%);</w:t>
      </w:r>
    </w:p>
    <w:p>
      <w:pPr>
        <w:pStyle w:val="Style28"/>
        <w:numPr>
          <w:ilvl w:val="0"/>
          <w:numId w:val="7"/>
        </w:numPr>
        <w:spacing w:lineRule="auto" w:line="240" w:before="0" w:after="0"/>
        <w:ind w:left="0" w:right="0" w:firstLine="709"/>
        <w:contextualSpacing/>
        <w:jc w:val="both"/>
        <w:rPr>
          <w:sz w:val="28"/>
          <w:szCs w:val="28"/>
        </w:rPr>
      </w:pPr>
      <w:bookmarkStart w:id="13" w:name="_Hlk69297434"/>
      <w:r>
        <w:rPr>
          <w:sz w:val="28"/>
          <w:szCs w:val="28"/>
        </w:rPr>
        <w:t>«затруднились ответить»</w:t>
      </w:r>
      <w:bookmarkEnd w:id="13"/>
      <w:r>
        <w:rPr>
          <w:sz w:val="28"/>
          <w:szCs w:val="28"/>
        </w:rPr>
        <w:t xml:space="preserve"> - 118 человек (28,16%), из них 44 женщины (20,75%) и 74 мужчины (35,75%).</w:t>
      </w:r>
    </w:p>
    <w:p>
      <w:pPr>
        <w:pStyle w:val="Normal"/>
        <w:jc w:val="both"/>
        <w:rPr>
          <w:sz w:val="28"/>
          <w:szCs w:val="28"/>
        </w:rPr>
      </w:pPr>
      <w:r>
        <w:rPr>
          <w:sz w:val="28"/>
          <w:szCs w:val="28"/>
        </w:rPr>
      </w:r>
    </w:p>
    <w:p>
      <w:pPr>
        <w:pStyle w:val="Normal"/>
        <w:ind w:firstLine="709"/>
        <w:jc w:val="both"/>
        <w:rPr/>
      </w:pPr>
      <w:r>
        <w:rPr>
          <w:color w:val="000000"/>
          <w:sz w:val="28"/>
          <w:szCs w:val="28"/>
        </w:rPr>
        <w:t>На вопрос «</w:t>
      </w:r>
      <w:r>
        <w:rPr>
          <w:sz w:val="28"/>
          <w:szCs w:val="28"/>
        </w:rPr>
        <w:t>Как часто Вы добавляете соль или соленый соус (например, соевый соус) в пищу непосредственно перед тем, как её съесть или во время еды?» ответы распределились следующим образом:</w:t>
      </w:r>
    </w:p>
    <w:p>
      <w:pPr>
        <w:pStyle w:val="Style28"/>
        <w:numPr>
          <w:ilvl w:val="0"/>
          <w:numId w:val="7"/>
        </w:numPr>
        <w:spacing w:lineRule="auto" w:line="240" w:before="0" w:after="0"/>
        <w:ind w:left="0" w:right="0" w:firstLine="709"/>
        <w:contextualSpacing/>
        <w:jc w:val="both"/>
        <w:rPr>
          <w:sz w:val="28"/>
          <w:szCs w:val="28"/>
        </w:rPr>
      </w:pPr>
      <w:r>
        <w:rPr>
          <w:sz w:val="28"/>
          <w:szCs w:val="28"/>
        </w:rPr>
        <w:t>«всегда» ответили – 81 человек (19,01 %), из них 39 женщин (17,89%) и 42 мужчины (20,19%);</w:t>
      </w:r>
    </w:p>
    <w:p>
      <w:pPr>
        <w:pStyle w:val="Style28"/>
        <w:numPr>
          <w:ilvl w:val="0"/>
          <w:numId w:val="7"/>
        </w:numPr>
        <w:spacing w:lineRule="auto" w:line="240" w:before="0" w:after="0"/>
        <w:ind w:left="0" w:right="0" w:firstLine="709"/>
        <w:contextualSpacing/>
        <w:jc w:val="both"/>
        <w:rPr>
          <w:sz w:val="28"/>
          <w:szCs w:val="28"/>
        </w:rPr>
      </w:pPr>
      <w:r>
        <w:rPr>
          <w:sz w:val="28"/>
          <w:szCs w:val="28"/>
        </w:rPr>
        <w:t>«часто» - 55 человек (12,91%), из них 27 женщин (12,39%) и 28 мужчин (13,46%);</w:t>
      </w:r>
    </w:p>
    <w:p>
      <w:pPr>
        <w:pStyle w:val="Style28"/>
        <w:numPr>
          <w:ilvl w:val="0"/>
          <w:numId w:val="7"/>
        </w:numPr>
        <w:spacing w:lineRule="auto" w:line="240" w:before="0" w:after="0"/>
        <w:ind w:left="0" w:right="0" w:firstLine="709"/>
        <w:contextualSpacing/>
        <w:jc w:val="both"/>
        <w:rPr>
          <w:sz w:val="28"/>
          <w:szCs w:val="28"/>
        </w:rPr>
      </w:pPr>
      <w:r>
        <w:rPr>
          <w:sz w:val="28"/>
          <w:szCs w:val="28"/>
        </w:rPr>
        <w:t>«иногда» - 108 человек (25,35%), из них 56 женщин (25,69%) и 52 мужчины (25,00%);</w:t>
      </w:r>
    </w:p>
    <w:p>
      <w:pPr>
        <w:pStyle w:val="Style28"/>
        <w:numPr>
          <w:ilvl w:val="0"/>
          <w:numId w:val="7"/>
        </w:numPr>
        <w:spacing w:lineRule="auto" w:line="240" w:before="0" w:after="0"/>
        <w:ind w:left="0" w:right="0" w:firstLine="709"/>
        <w:contextualSpacing/>
        <w:jc w:val="both"/>
        <w:rPr/>
      </w:pPr>
      <w:r>
        <w:rPr>
          <w:sz w:val="28"/>
          <w:szCs w:val="28"/>
        </w:rPr>
        <w:t xml:space="preserve">«редко» - </w:t>
      </w:r>
      <w:r>
        <w:rPr>
          <w:color w:val="000000"/>
          <w:sz w:val="28"/>
          <w:szCs w:val="28"/>
        </w:rPr>
        <w:t xml:space="preserve">74 человека (17,37%), из них </w:t>
      </w:r>
      <w:r>
        <w:rPr>
          <w:sz w:val="28"/>
          <w:szCs w:val="28"/>
        </w:rPr>
        <w:t>47 женщин (21,56%) и 27 мужчин (12,98%);</w:t>
      </w:r>
    </w:p>
    <w:p>
      <w:pPr>
        <w:pStyle w:val="Style28"/>
        <w:numPr>
          <w:ilvl w:val="0"/>
          <w:numId w:val="7"/>
        </w:numPr>
        <w:spacing w:lineRule="auto" w:line="240" w:before="0" w:after="0"/>
        <w:ind w:left="0" w:right="0" w:firstLine="709"/>
        <w:contextualSpacing/>
        <w:jc w:val="both"/>
        <w:rPr/>
      </w:pPr>
      <w:r>
        <w:rPr>
          <w:sz w:val="28"/>
          <w:szCs w:val="28"/>
        </w:rPr>
        <w:t xml:space="preserve">«никогда» - </w:t>
      </w:r>
      <w:r>
        <w:rPr>
          <w:color w:val="000000"/>
          <w:sz w:val="28"/>
          <w:szCs w:val="28"/>
        </w:rPr>
        <w:t xml:space="preserve">62 человека (14,55%), из них </w:t>
      </w:r>
      <w:r>
        <w:rPr>
          <w:sz w:val="28"/>
          <w:szCs w:val="28"/>
        </w:rPr>
        <w:t>34 женщины (15,60%) и 28 мужчин (13,46%);</w:t>
      </w:r>
    </w:p>
    <w:p>
      <w:pPr>
        <w:pStyle w:val="Style28"/>
        <w:numPr>
          <w:ilvl w:val="0"/>
          <w:numId w:val="7"/>
        </w:numPr>
        <w:spacing w:lineRule="auto" w:line="240" w:before="0" w:after="0"/>
        <w:ind w:left="0" w:right="0" w:firstLine="709"/>
        <w:contextualSpacing/>
        <w:jc w:val="both"/>
        <w:rPr>
          <w:sz w:val="28"/>
          <w:szCs w:val="28"/>
        </w:rPr>
      </w:pPr>
      <w:r>
        <w:rPr>
          <w:sz w:val="28"/>
          <w:szCs w:val="28"/>
        </w:rPr>
        <w:t>«затрудняются ответить» - 46 человек (10,80%), из них 15 женщин (6,88%) и 31 мужчина (14,90%).</w:t>
      </w:r>
    </w:p>
    <w:p>
      <w:pPr>
        <w:pStyle w:val="Style28"/>
        <w:spacing w:lineRule="auto" w:line="240" w:before="0" w:after="0"/>
        <w:contextualSpacing/>
        <w:jc w:val="both"/>
        <w:rPr>
          <w:sz w:val="28"/>
          <w:szCs w:val="28"/>
        </w:rPr>
      </w:pPr>
      <w:r>
        <w:rPr>
          <w:sz w:val="28"/>
          <w:szCs w:val="28"/>
        </w:rPr>
      </w:r>
    </w:p>
    <w:p>
      <w:pPr>
        <w:pStyle w:val="Normal"/>
        <w:ind w:firstLine="709"/>
        <w:jc w:val="both"/>
        <w:rPr/>
      </w:pPr>
      <w:r>
        <w:rPr>
          <w:sz w:val="28"/>
          <w:szCs w:val="28"/>
        </w:rPr>
        <w:t>На вопрос «Как часто</w:t>
      </w:r>
      <w:r>
        <w:rPr>
          <w:rFonts w:eastAsia="SimSun;宋体"/>
          <w:color w:val="000000"/>
          <w:kern w:val="2"/>
          <w:sz w:val="28"/>
          <w:szCs w:val="28"/>
          <w:shd w:fill="FFFFFF" w:val="clear"/>
          <w:lang w:eastAsia="hi-IN" w:bidi="hi-IN"/>
        </w:rPr>
        <w:t xml:space="preserve"> вы едите </w:t>
      </w:r>
      <w:r>
        <w:rPr>
          <w:rFonts w:eastAsia="SimSun;宋体"/>
          <w:color w:val="000000"/>
          <w:kern w:val="2"/>
          <w:sz w:val="28"/>
          <w:szCs w:val="28"/>
          <w:lang w:eastAsia="hi-IN" w:bidi="hi-IN"/>
        </w:rPr>
        <w:t>сладкое</w:t>
      </w:r>
      <w:r>
        <w:rPr>
          <w:rFonts w:eastAsia="SimSun;宋体"/>
          <w:color w:val="000000"/>
          <w:kern w:val="2"/>
          <w:sz w:val="28"/>
          <w:szCs w:val="28"/>
          <w:shd w:fill="FFFFFF" w:val="clear"/>
          <w:lang w:eastAsia="hi-IN" w:bidi="hi-IN"/>
        </w:rPr>
        <w:t xml:space="preserve"> (булочки, шоколад, конфеты, торты и т. п.)?» </w:t>
      </w:r>
      <w:r>
        <w:rPr>
          <w:sz w:val="28"/>
          <w:szCs w:val="28"/>
        </w:rPr>
        <w:t>ответы распределились следующим образом:</w:t>
      </w:r>
    </w:p>
    <w:p>
      <w:pPr>
        <w:pStyle w:val="Style28"/>
        <w:numPr>
          <w:ilvl w:val="0"/>
          <w:numId w:val="7"/>
        </w:numPr>
        <w:spacing w:lineRule="auto" w:line="240" w:before="0" w:after="0"/>
        <w:ind w:left="0" w:right="0" w:firstLine="709"/>
        <w:contextualSpacing/>
        <w:jc w:val="both"/>
        <w:rPr>
          <w:sz w:val="28"/>
          <w:szCs w:val="28"/>
        </w:rPr>
      </w:pPr>
      <w:r>
        <w:rPr>
          <w:sz w:val="28"/>
          <w:szCs w:val="28"/>
        </w:rPr>
        <w:t>«ежедневно» ответил 141 человек (33,65%), из них 74 женщины (34,91%) и 67 мужчин (32,37%);</w:t>
      </w:r>
    </w:p>
    <w:p>
      <w:pPr>
        <w:pStyle w:val="Style28"/>
        <w:numPr>
          <w:ilvl w:val="0"/>
          <w:numId w:val="7"/>
        </w:numPr>
        <w:spacing w:lineRule="auto" w:line="240" w:before="0" w:after="0"/>
        <w:ind w:left="0" w:right="0" w:firstLine="709"/>
        <w:contextualSpacing/>
        <w:jc w:val="both"/>
        <w:rPr>
          <w:sz w:val="28"/>
          <w:szCs w:val="28"/>
        </w:rPr>
      </w:pPr>
      <w:r>
        <w:rPr>
          <w:sz w:val="28"/>
          <w:szCs w:val="28"/>
        </w:rPr>
        <w:t>«до 3 раз в неделю» - 107 человек (25,54%), из них 54 женщины (25,47%) и 53 мужчины (25,60%);</w:t>
      </w:r>
    </w:p>
    <w:p>
      <w:pPr>
        <w:pStyle w:val="Style28"/>
        <w:numPr>
          <w:ilvl w:val="0"/>
          <w:numId w:val="7"/>
        </w:numPr>
        <w:spacing w:lineRule="auto" w:line="240" w:before="0" w:after="0"/>
        <w:ind w:left="0" w:right="0" w:firstLine="709"/>
        <w:contextualSpacing/>
        <w:jc w:val="both"/>
        <w:rPr>
          <w:sz w:val="28"/>
          <w:szCs w:val="28"/>
        </w:rPr>
      </w:pPr>
      <w:r>
        <w:rPr>
          <w:sz w:val="28"/>
          <w:szCs w:val="28"/>
        </w:rPr>
        <w:t>«еженедельно» - 50 человек (11,93%), из них 30 женщин (14,15%) и 20 мужчин (9,66%);</w:t>
      </w:r>
    </w:p>
    <w:p>
      <w:pPr>
        <w:pStyle w:val="Style28"/>
        <w:numPr>
          <w:ilvl w:val="0"/>
          <w:numId w:val="7"/>
        </w:numPr>
        <w:spacing w:lineRule="auto" w:line="240" w:before="0" w:after="0"/>
        <w:ind w:left="0" w:right="0" w:firstLine="709"/>
        <w:contextualSpacing/>
        <w:jc w:val="both"/>
        <w:rPr>
          <w:sz w:val="28"/>
          <w:szCs w:val="28"/>
        </w:rPr>
      </w:pPr>
      <w:r>
        <w:rPr>
          <w:sz w:val="28"/>
          <w:szCs w:val="28"/>
        </w:rPr>
        <w:t>«ежемесячно» - 33 человека (7,88%), из них 14 женщин (6,60%) и 19 мужчин (9,18%);</w:t>
      </w:r>
    </w:p>
    <w:p>
      <w:pPr>
        <w:pStyle w:val="Style28"/>
        <w:numPr>
          <w:ilvl w:val="0"/>
          <w:numId w:val="7"/>
        </w:numPr>
        <w:spacing w:lineRule="auto" w:line="240" w:before="0" w:after="0"/>
        <w:ind w:left="0" w:right="0" w:firstLine="709"/>
        <w:contextualSpacing/>
        <w:jc w:val="both"/>
        <w:rPr>
          <w:sz w:val="28"/>
          <w:szCs w:val="28"/>
        </w:rPr>
      </w:pPr>
      <w:r>
        <w:rPr>
          <w:sz w:val="28"/>
          <w:szCs w:val="28"/>
        </w:rPr>
        <w:t>«реже чем раз в месяц» - 61 человек (14,56%), из них 32 женщины (15,09%) и 29 мужчин (14,01%);</w:t>
      </w:r>
    </w:p>
    <w:p>
      <w:pPr>
        <w:pStyle w:val="Style28"/>
        <w:numPr>
          <w:ilvl w:val="0"/>
          <w:numId w:val="7"/>
        </w:numPr>
        <w:spacing w:lineRule="auto" w:line="240" w:before="0" w:after="0"/>
        <w:ind w:left="0" w:right="0" w:firstLine="709"/>
        <w:contextualSpacing/>
        <w:jc w:val="both"/>
        <w:rPr>
          <w:sz w:val="28"/>
          <w:szCs w:val="28"/>
        </w:rPr>
      </w:pPr>
      <w:r>
        <w:rPr>
          <w:sz w:val="28"/>
          <w:szCs w:val="28"/>
        </w:rPr>
        <w:t>«никогда» - 27 человек (6,44%), из них 8 женщин (3,77%) и 19 мужчин (9,18%).</w:t>
      </w:r>
    </w:p>
    <w:p>
      <w:pPr>
        <w:pStyle w:val="Style28"/>
        <w:spacing w:lineRule="auto" w:line="240" w:before="0" w:after="0"/>
        <w:contextualSpacing/>
        <w:jc w:val="both"/>
        <w:rPr>
          <w:sz w:val="28"/>
          <w:szCs w:val="28"/>
        </w:rPr>
      </w:pPr>
      <w:r>
        <w:rPr>
          <w:sz w:val="28"/>
          <w:szCs w:val="28"/>
        </w:rPr>
      </w:r>
    </w:p>
    <w:p>
      <w:pPr>
        <w:pStyle w:val="Normal"/>
        <w:ind w:firstLine="708"/>
        <w:jc w:val="both"/>
        <w:rPr>
          <w:sz w:val="28"/>
          <w:szCs w:val="28"/>
        </w:rPr>
      </w:pPr>
      <w:r>
        <w:rPr>
          <w:sz w:val="28"/>
          <w:szCs w:val="28"/>
        </w:rPr>
        <w:t>На вопрос «Какой вид растительных или животных жиров чаще всего используется для приготовления пищи в Вашей семье?» ответы распределились следующим образом:</w:t>
      </w:r>
    </w:p>
    <w:p>
      <w:pPr>
        <w:pStyle w:val="Style28"/>
        <w:numPr>
          <w:ilvl w:val="0"/>
          <w:numId w:val="7"/>
        </w:numPr>
        <w:spacing w:lineRule="auto" w:line="240" w:before="0" w:after="0"/>
        <w:ind w:left="0" w:right="0" w:firstLine="709"/>
        <w:contextualSpacing/>
        <w:jc w:val="both"/>
        <w:rPr>
          <w:sz w:val="28"/>
          <w:szCs w:val="28"/>
        </w:rPr>
      </w:pPr>
      <w:r>
        <w:rPr>
          <w:sz w:val="28"/>
          <w:szCs w:val="28"/>
        </w:rPr>
        <w:t>«животные жиры» ответили – 86 человек (20,53%), из них 33 женщины (15,57%) и 53 мужчины (25,60%);</w:t>
      </w:r>
    </w:p>
    <w:p>
      <w:pPr>
        <w:pStyle w:val="Style28"/>
        <w:numPr>
          <w:ilvl w:val="0"/>
          <w:numId w:val="7"/>
        </w:numPr>
        <w:spacing w:lineRule="auto" w:line="240" w:before="0" w:after="0"/>
        <w:ind w:left="0" w:right="0" w:firstLine="709"/>
        <w:contextualSpacing/>
        <w:jc w:val="both"/>
        <w:rPr>
          <w:sz w:val="28"/>
          <w:szCs w:val="28"/>
        </w:rPr>
      </w:pPr>
      <w:r>
        <w:rPr>
          <w:sz w:val="28"/>
          <w:szCs w:val="28"/>
        </w:rPr>
        <w:t>«маргарин» - 33 человека (7,88%), из них 17 женщин (8,02%) и 16 мужчин (7,73%);</w:t>
      </w:r>
    </w:p>
    <w:p>
      <w:pPr>
        <w:pStyle w:val="Style28"/>
        <w:numPr>
          <w:ilvl w:val="0"/>
          <w:numId w:val="7"/>
        </w:numPr>
        <w:spacing w:lineRule="auto" w:line="240" w:before="0" w:after="0"/>
        <w:ind w:left="0" w:right="0" w:firstLine="709"/>
        <w:contextualSpacing/>
        <w:jc w:val="both"/>
        <w:rPr>
          <w:sz w:val="28"/>
          <w:szCs w:val="28"/>
        </w:rPr>
      </w:pPr>
      <w:r>
        <w:rPr>
          <w:sz w:val="28"/>
          <w:szCs w:val="28"/>
        </w:rPr>
        <w:t>«растительные жиры» - 206 человек (49,16%), из них 121 женщина (57,08%) и 85 мужчин (41,06%);</w:t>
      </w:r>
    </w:p>
    <w:p>
      <w:pPr>
        <w:pStyle w:val="Style28"/>
        <w:numPr>
          <w:ilvl w:val="0"/>
          <w:numId w:val="7"/>
        </w:numPr>
        <w:spacing w:lineRule="auto" w:line="240" w:before="0" w:after="0"/>
        <w:ind w:left="0" w:right="0" w:firstLine="709"/>
        <w:contextualSpacing/>
        <w:jc w:val="both"/>
        <w:rPr>
          <w:sz w:val="28"/>
          <w:szCs w:val="28"/>
        </w:rPr>
      </w:pPr>
      <w:r>
        <w:rPr>
          <w:sz w:val="28"/>
          <w:szCs w:val="28"/>
        </w:rPr>
        <w:t>«животные и растительные жиры» - 8 человек (1,91%), из них 3 женщины (1,42%) и 5 мужчин (2,42%);</w:t>
      </w:r>
    </w:p>
    <w:p>
      <w:pPr>
        <w:pStyle w:val="Style28"/>
        <w:numPr>
          <w:ilvl w:val="0"/>
          <w:numId w:val="7"/>
        </w:numPr>
        <w:spacing w:lineRule="auto" w:line="240" w:before="0" w:after="0"/>
        <w:ind w:left="0" w:right="0" w:firstLine="709"/>
        <w:contextualSpacing/>
        <w:jc w:val="both"/>
        <w:rPr>
          <w:sz w:val="28"/>
          <w:szCs w:val="28"/>
        </w:rPr>
      </w:pPr>
      <w:r>
        <w:rPr>
          <w:sz w:val="28"/>
          <w:szCs w:val="28"/>
        </w:rPr>
        <w:t>«масло и жир не используются» - 48 человек (11,46%), из них 30 женщин (14,15%) и 18 мужчин (8,70%);</w:t>
      </w:r>
    </w:p>
    <w:p>
      <w:pPr>
        <w:pStyle w:val="Style28"/>
        <w:numPr>
          <w:ilvl w:val="0"/>
          <w:numId w:val="7"/>
        </w:numPr>
        <w:spacing w:lineRule="auto" w:line="240" w:before="0" w:after="0"/>
        <w:ind w:left="0" w:right="0" w:firstLine="709"/>
        <w:contextualSpacing/>
        <w:jc w:val="both"/>
        <w:rPr>
          <w:sz w:val="28"/>
          <w:szCs w:val="28"/>
        </w:rPr>
      </w:pPr>
      <w:r>
        <w:rPr>
          <w:sz w:val="28"/>
          <w:szCs w:val="28"/>
        </w:rPr>
        <w:t>«затрудняюсь ответить» - 38 человек (9,07%), из них 8 женщин (3,77%) и 30 мужчин (14,49%).</w:t>
      </w:r>
    </w:p>
    <w:p>
      <w:pPr>
        <w:pStyle w:val="Style28"/>
        <w:spacing w:lineRule="auto" w:line="240" w:before="0" w:after="0"/>
        <w:contextualSpacing/>
        <w:jc w:val="both"/>
        <w:rPr>
          <w:sz w:val="28"/>
          <w:szCs w:val="28"/>
        </w:rPr>
      </w:pPr>
      <w:r>
        <w:rPr>
          <w:sz w:val="28"/>
          <w:szCs w:val="28"/>
        </w:rPr>
      </w:r>
    </w:p>
    <w:p>
      <w:pPr>
        <w:pStyle w:val="Normal"/>
        <w:ind w:firstLine="709"/>
        <w:jc w:val="both"/>
        <w:rPr>
          <w:sz w:val="28"/>
          <w:szCs w:val="28"/>
        </w:rPr>
      </w:pPr>
      <w:r>
        <w:rPr>
          <w:sz w:val="28"/>
          <w:szCs w:val="28"/>
        </w:rPr>
        <w:t xml:space="preserve">На вопрос «Как часто Вы едите рыбу?» ответы распределились следующим образом: </w:t>
      </w:r>
    </w:p>
    <w:p>
      <w:pPr>
        <w:pStyle w:val="Style28"/>
        <w:numPr>
          <w:ilvl w:val="0"/>
          <w:numId w:val="7"/>
        </w:numPr>
        <w:spacing w:lineRule="auto" w:line="240" w:before="0" w:after="0"/>
        <w:ind w:left="0" w:right="0" w:firstLine="709"/>
        <w:contextualSpacing/>
        <w:jc w:val="both"/>
        <w:rPr>
          <w:sz w:val="28"/>
          <w:szCs w:val="28"/>
        </w:rPr>
      </w:pPr>
      <w:r>
        <w:rPr>
          <w:sz w:val="28"/>
          <w:szCs w:val="28"/>
        </w:rPr>
        <w:t>«ежедневно или несколько раз в неделю» ответили 65 человек (15,51%), из них 31 женщина (14,62%) и 34 мужчины (16,43%);</w:t>
      </w:r>
    </w:p>
    <w:p>
      <w:pPr>
        <w:pStyle w:val="Style28"/>
        <w:numPr>
          <w:ilvl w:val="0"/>
          <w:numId w:val="7"/>
        </w:numPr>
        <w:spacing w:lineRule="auto" w:line="240" w:before="0" w:after="0"/>
        <w:ind w:left="0" w:right="0" w:firstLine="709"/>
        <w:contextualSpacing/>
        <w:jc w:val="both"/>
        <w:rPr>
          <w:sz w:val="28"/>
          <w:szCs w:val="28"/>
        </w:rPr>
      </w:pPr>
      <w:r>
        <w:rPr>
          <w:sz w:val="28"/>
          <w:szCs w:val="28"/>
        </w:rPr>
        <w:t>«один раз в неделю» - 70 человек (16,71%), из них 36 женщин (16,98%) и 34 мужчины (16,43%);</w:t>
      </w:r>
    </w:p>
    <w:p>
      <w:pPr>
        <w:pStyle w:val="Style28"/>
        <w:numPr>
          <w:ilvl w:val="0"/>
          <w:numId w:val="7"/>
        </w:numPr>
        <w:spacing w:lineRule="auto" w:line="240" w:before="0" w:after="0"/>
        <w:ind w:left="0" w:right="0" w:firstLine="709"/>
        <w:contextualSpacing/>
        <w:jc w:val="both"/>
        <w:rPr>
          <w:sz w:val="28"/>
          <w:szCs w:val="28"/>
        </w:rPr>
      </w:pPr>
      <w:r>
        <w:rPr>
          <w:sz w:val="28"/>
          <w:szCs w:val="28"/>
        </w:rPr>
        <w:t>«несколько раз в месяц» - 142 человека (33,89%), из них 67 женщин (31,60%) и 75 мужчин (36,23%);</w:t>
      </w:r>
    </w:p>
    <w:p>
      <w:pPr>
        <w:pStyle w:val="Style28"/>
        <w:numPr>
          <w:ilvl w:val="0"/>
          <w:numId w:val="7"/>
        </w:numPr>
        <w:spacing w:lineRule="auto" w:line="240" w:before="0" w:after="0"/>
        <w:ind w:left="0" w:right="0" w:firstLine="709"/>
        <w:contextualSpacing/>
        <w:jc w:val="both"/>
        <w:rPr>
          <w:sz w:val="28"/>
          <w:szCs w:val="28"/>
        </w:rPr>
      </w:pPr>
      <w:r>
        <w:rPr>
          <w:sz w:val="28"/>
          <w:szCs w:val="28"/>
        </w:rPr>
        <w:t>«один раз в месяц или реже» - 69 человек (16,47%), из них 27 женщин (12,74%) и 42 мужчины (20,29%);</w:t>
      </w:r>
    </w:p>
    <w:p>
      <w:pPr>
        <w:pStyle w:val="Style28"/>
        <w:numPr>
          <w:ilvl w:val="0"/>
          <w:numId w:val="7"/>
        </w:numPr>
        <w:spacing w:lineRule="auto" w:line="240" w:before="0" w:after="0"/>
        <w:ind w:left="0" w:right="0" w:firstLine="709"/>
        <w:contextualSpacing/>
        <w:jc w:val="both"/>
        <w:rPr>
          <w:sz w:val="28"/>
          <w:szCs w:val="28"/>
        </w:rPr>
      </w:pPr>
      <w:r>
        <w:rPr>
          <w:sz w:val="28"/>
          <w:szCs w:val="28"/>
        </w:rPr>
        <w:t>«не едят» - 73 человека (17,42%), из них 51 женщина (24,06%) и 22 мужчины (10,63%).</w:t>
      </w:r>
    </w:p>
    <w:p>
      <w:pPr>
        <w:pStyle w:val="Style28"/>
        <w:spacing w:lineRule="auto" w:line="240" w:before="0" w:after="0"/>
        <w:contextualSpacing/>
        <w:jc w:val="both"/>
        <w:rPr>
          <w:sz w:val="28"/>
          <w:szCs w:val="28"/>
        </w:rPr>
      </w:pPr>
      <w:r>
        <w:rPr>
          <w:sz w:val="28"/>
          <w:szCs w:val="28"/>
        </w:rPr>
      </w:r>
    </w:p>
    <w:p>
      <w:pPr>
        <w:pStyle w:val="Normal"/>
        <w:jc w:val="center"/>
        <w:rPr>
          <w:sz w:val="28"/>
          <w:szCs w:val="28"/>
        </w:rPr>
      </w:pPr>
      <w:r>
        <w:rPr>
          <w:sz w:val="28"/>
          <w:szCs w:val="28"/>
        </w:rPr>
        <w:t>6.5 Физическая активность, физическая культура и спорт</w:t>
      </w:r>
    </w:p>
    <w:p>
      <w:pPr>
        <w:pStyle w:val="Normal"/>
        <w:jc w:val="both"/>
        <w:rPr>
          <w:sz w:val="28"/>
          <w:szCs w:val="28"/>
        </w:rPr>
      </w:pPr>
      <w:r>
        <w:rPr>
          <w:sz w:val="28"/>
          <w:szCs w:val="28"/>
        </w:rPr>
      </w:r>
    </w:p>
    <w:p>
      <w:pPr>
        <w:pStyle w:val="Normal"/>
        <w:ind w:firstLine="567"/>
        <w:jc w:val="both"/>
        <w:rPr>
          <w:sz w:val="28"/>
          <w:szCs w:val="28"/>
        </w:rPr>
      </w:pPr>
      <w:r>
        <w:rPr>
          <w:sz w:val="28"/>
          <w:szCs w:val="28"/>
        </w:rPr>
        <w:t>Сеть спортивных сооружений Топкинского муниципального округа для занятий физической культурой и спортом насчитывает 168 единиц, в том числе 1 стадион, 26 спортивных залов, 2 плавательных бассейна, 1 лыжную базу, 1 спортивный комплекс, 95 плоскостных сооружений (спортивные площадки, футбольные, баскетбольные и волейбольные поля, др.) Единовременная пропускная способность всех спортивных сооружений физкультурно-спортивного назначения составляет 4423 человека. Плоскостные спортивные сооружения расположены в шаговой доступности, имеется возможность заниматься на них круглогодично, самостоятельно и бесплатно.</w:t>
      </w:r>
    </w:p>
    <w:p>
      <w:pPr>
        <w:pStyle w:val="ListParagraph"/>
        <w:spacing w:lineRule="auto" w:line="240" w:before="0" w:after="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Численность граждан, систематически занимающихся физической культурой и спортом, составила 62% от общей численности населения Топкинского муниципального округа. Наиболее популярными видами спорта остаются рукопашный бой, лыжные гонки, бокс, хоккей с мячом, гиревой спорт. </w:t>
      </w:r>
    </w:p>
    <w:p>
      <w:pPr>
        <w:pStyle w:val="ListParagraph"/>
        <w:spacing w:lineRule="auto" w:line="240" w:before="0" w:after="0"/>
        <w:ind w:left="0" w:right="0" w:firstLine="709"/>
        <w:jc w:val="both"/>
        <w:rPr>
          <w:rFonts w:ascii="Times New Roman" w:hAnsi="Times New Roman" w:cs="Times New Roman"/>
          <w:sz w:val="28"/>
          <w:szCs w:val="28"/>
        </w:rPr>
      </w:pPr>
      <w:r>
        <w:rPr>
          <w:rFonts w:cs="Times New Roman" w:ascii="Times New Roman" w:hAnsi="Times New Roman"/>
          <w:sz w:val="28"/>
          <w:szCs w:val="28"/>
        </w:rPr>
        <w:t xml:space="preserve">В соответствии с Единым календарным планом спортивно-массовых мероприятий, ежегодно составляемым совместно с ведущими федерациями по видам спорта, увеличивается количество проводимых в Топкинском муниципальном округе соревнований областного масштаба. </w:t>
      </w:r>
    </w:p>
    <w:p>
      <w:pPr>
        <w:pStyle w:val="ListParagraph"/>
        <w:spacing w:lineRule="auto" w:line="240" w:before="0" w:after="0"/>
        <w:ind w:left="0" w:right="0" w:firstLine="709"/>
        <w:jc w:val="both"/>
        <w:rPr>
          <w:rFonts w:ascii="Times New Roman" w:hAnsi="Times New Roman" w:cs="Times New Roman"/>
          <w:sz w:val="28"/>
          <w:szCs w:val="28"/>
        </w:rPr>
      </w:pPr>
      <w:r>
        <w:rPr>
          <w:rFonts w:cs="Times New Roman" w:ascii="Times New Roman" w:hAnsi="Times New Roman"/>
          <w:sz w:val="28"/>
          <w:szCs w:val="28"/>
        </w:rPr>
        <w:t>Ежегодно проводится активная работа по внедрению и развитию Всероссийского физкультурно-спортивного комплекса «Готов к труду и обороне» (ГТО).</w:t>
      </w:r>
    </w:p>
    <w:p>
      <w:pPr>
        <w:pStyle w:val="Normal"/>
        <w:ind w:firstLine="709"/>
        <w:jc w:val="both"/>
        <w:rPr/>
      </w:pPr>
      <w:bookmarkStart w:id="14" w:name="_Hlk32933719"/>
      <w:bookmarkEnd w:id="14"/>
      <w:r>
        <w:rPr>
          <w:sz w:val="28"/>
          <w:szCs w:val="28"/>
        </w:rPr>
        <w:t>По данным анкетирования ГБУЗ «Кузбасский центр общественного здоровья и медицинской профилактики», на вопрос «</w:t>
      </w:r>
      <w:r>
        <w:rPr>
          <w:kern w:val="2"/>
          <w:sz w:val="28"/>
          <w:szCs w:val="28"/>
          <w:lang w:eastAsia="hi-IN" w:bidi="hi-IN"/>
        </w:rPr>
        <w:t xml:space="preserve">Сколько дней в типичную неделю Вы обычно занимаетесь </w:t>
      </w:r>
      <w:r>
        <w:rPr>
          <w:kern w:val="2"/>
          <w:sz w:val="28"/>
          <w:szCs w:val="28"/>
          <w:lang w:eastAsia="ar-EG" w:bidi="ar-EG"/>
        </w:rPr>
        <w:t xml:space="preserve">спортом, физическими упражнениями или активным досугом </w:t>
      </w:r>
      <w:r>
        <w:rPr>
          <w:kern w:val="2"/>
          <w:sz w:val="28"/>
          <w:szCs w:val="28"/>
          <w:lang w:eastAsia="hi-IN" w:bidi="hi-IN"/>
        </w:rPr>
        <w:t>высокоинтенсивного характера?»</w:t>
      </w:r>
      <w:r>
        <w:rPr>
          <w:sz w:val="28"/>
          <w:szCs w:val="28"/>
        </w:rPr>
        <w:t xml:space="preserve"> ответы распределились следующим образом: </w:t>
      </w:r>
    </w:p>
    <w:p>
      <w:pPr>
        <w:pStyle w:val="Style28"/>
        <w:numPr>
          <w:ilvl w:val="0"/>
          <w:numId w:val="7"/>
        </w:numPr>
        <w:spacing w:lineRule="auto" w:line="240" w:before="0" w:after="0"/>
        <w:ind w:left="0" w:right="0" w:firstLine="709"/>
        <w:contextualSpacing/>
        <w:jc w:val="both"/>
        <w:rPr>
          <w:color w:val="000000"/>
          <w:sz w:val="28"/>
          <w:szCs w:val="28"/>
        </w:rPr>
      </w:pPr>
      <w:r>
        <w:rPr>
          <w:color w:val="000000"/>
          <w:sz w:val="28"/>
          <w:szCs w:val="28"/>
        </w:rPr>
        <w:t>«1-2 дня» ответили – 90 человек (21,48%), из них 42 женщины (19,81%) и 48 мужчин (23,19%);</w:t>
      </w:r>
    </w:p>
    <w:p>
      <w:pPr>
        <w:pStyle w:val="Style28"/>
        <w:numPr>
          <w:ilvl w:val="0"/>
          <w:numId w:val="7"/>
        </w:numPr>
        <w:spacing w:lineRule="auto" w:line="240" w:before="0" w:after="0"/>
        <w:ind w:left="0" w:right="0" w:firstLine="709"/>
        <w:contextualSpacing/>
        <w:jc w:val="both"/>
        <w:rPr>
          <w:color w:val="000000"/>
          <w:sz w:val="28"/>
          <w:szCs w:val="28"/>
        </w:rPr>
      </w:pPr>
      <w:r>
        <w:rPr>
          <w:color w:val="000000"/>
          <w:sz w:val="28"/>
          <w:szCs w:val="28"/>
        </w:rPr>
        <w:t>«3-4 дня» - 51 человек (12,17%), из них 22 женщины (10,38%) и 29 мужчин (14,01%);</w:t>
      </w:r>
    </w:p>
    <w:p>
      <w:pPr>
        <w:pStyle w:val="Style28"/>
        <w:numPr>
          <w:ilvl w:val="0"/>
          <w:numId w:val="7"/>
        </w:numPr>
        <w:spacing w:lineRule="auto" w:line="240" w:before="0" w:after="0"/>
        <w:ind w:left="0" w:right="0" w:firstLine="709"/>
        <w:contextualSpacing/>
        <w:jc w:val="both"/>
        <w:rPr>
          <w:color w:val="000000"/>
          <w:sz w:val="28"/>
          <w:szCs w:val="28"/>
        </w:rPr>
      </w:pPr>
      <w:r>
        <w:rPr>
          <w:color w:val="000000"/>
          <w:sz w:val="28"/>
          <w:szCs w:val="28"/>
        </w:rPr>
        <w:t>«более 5 дней» - 35 человек (8,35%), из них 6 женщин (2,83%) и 29 мужчин (14,01%);</w:t>
      </w:r>
    </w:p>
    <w:p>
      <w:pPr>
        <w:pStyle w:val="Style28"/>
        <w:numPr>
          <w:ilvl w:val="0"/>
          <w:numId w:val="7"/>
        </w:numPr>
        <w:spacing w:lineRule="auto" w:line="240" w:before="0" w:after="0"/>
        <w:ind w:left="0" w:right="0" w:firstLine="709"/>
        <w:contextualSpacing/>
        <w:jc w:val="both"/>
        <w:rPr>
          <w:color w:val="000000"/>
          <w:sz w:val="28"/>
          <w:szCs w:val="28"/>
        </w:rPr>
      </w:pPr>
      <w:r>
        <w:rPr>
          <w:color w:val="000000"/>
          <w:sz w:val="28"/>
          <w:szCs w:val="28"/>
        </w:rPr>
        <w:t>«не имеют данного вида нагрузки» - 243 человека (58,00%), из них 142 женщины (66,98%) и 101 мужчина (48,79%).</w:t>
      </w:r>
    </w:p>
    <w:p>
      <w:pPr>
        <w:pStyle w:val="ListParagraph"/>
        <w:spacing w:lineRule="auto" w:line="240" w:before="0" w:after="0"/>
        <w:ind w:left="0" w:right="0" w:firstLine="567"/>
        <w:jc w:val="both"/>
        <w:rPr>
          <w:rFonts w:ascii="Times New Roman" w:hAnsi="Times New Roman" w:cs="Times New Roman"/>
          <w:sz w:val="28"/>
          <w:szCs w:val="28"/>
        </w:rPr>
      </w:pPr>
      <w:r>
        <w:rPr>
          <w:rFonts w:cs="Times New Roman" w:ascii="Times New Roman" w:hAnsi="Times New Roman"/>
          <w:sz w:val="28"/>
          <w:szCs w:val="28"/>
        </w:rPr>
      </w:r>
    </w:p>
    <w:p>
      <w:pPr>
        <w:pStyle w:val="Normal"/>
        <w:ind w:firstLine="709"/>
        <w:jc w:val="both"/>
        <w:rPr/>
      </w:pPr>
      <w:r>
        <w:rPr>
          <w:kern w:val="2"/>
          <w:sz w:val="28"/>
          <w:szCs w:val="28"/>
          <w:lang w:eastAsia="hi-IN" w:bidi="hi-IN"/>
        </w:rPr>
        <w:t>Вопрос «Какими видами физической активности Вы занимаетесь?»</w:t>
      </w:r>
      <w:r>
        <w:rPr>
          <w:sz w:val="28"/>
          <w:szCs w:val="28"/>
        </w:rPr>
        <w:t xml:space="preserve"> ответы распределились в соответствии с ниже представленной диаграммой. </w:t>
      </w:r>
    </w:p>
    <w:p>
      <w:pPr>
        <w:pStyle w:val="ListParagraph"/>
        <w:spacing w:lineRule="auto" w:line="240" w:before="0" w:after="0"/>
        <w:ind w:left="0" w:right="0" w:hanging="0"/>
        <w:jc w:val="right"/>
        <w:rPr/>
      </w:pPr>
      <w:r>
        <w:rPr>
          <w:rFonts w:cs="Times New Roman" w:ascii="Times New Roman" w:hAnsi="Times New Roman"/>
          <w:sz w:val="28"/>
          <w:szCs w:val="28"/>
        </w:rPr>
        <w:tab/>
      </w:r>
      <w:r>
        <w:rPr>
          <w:rFonts w:cs="Times New Roman" w:ascii="Times New Roman" w:hAnsi="Times New Roman"/>
          <w:i/>
          <w:iCs/>
          <w:sz w:val="28"/>
          <w:szCs w:val="28"/>
        </w:rPr>
        <w:t>Рисунок 2.</w:t>
      </w:r>
    </w:p>
    <w:p>
      <w:pPr>
        <w:pStyle w:val="ListParagraph"/>
        <w:spacing w:lineRule="auto" w:line="240" w:before="0" w:after="0"/>
        <w:ind w:left="0" w:right="0" w:hanging="0"/>
        <w:jc w:val="both"/>
        <w:rPr>
          <w:lang w:val="ru-RU" w:eastAsia="ru-RU"/>
        </w:rPr>
      </w:pPr>
      <w:r>
        <w:rPr>
          <w:lang w:val="ru-RU" w:eastAsia="ru-RU"/>
        </w:rPr>
        <w:drawing>
          <wp:inline distT="0" distB="0" distL="0" distR="0">
            <wp:extent cx="5029200" cy="2494915"/>
            <wp:effectExtent l="0" t="0" r="0" b="0"/>
            <wp:docPr id="3"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 descr=""/>
                    <pic:cNvPicPr>
                      <a:picLocks noChangeAspect="1" noChangeArrowheads="1"/>
                    </pic:cNvPicPr>
                  </pic:nvPicPr>
                  <pic:blipFill>
                    <a:blip r:embed="rId4"/>
                    <a:srcRect l="-79" t="-147" r="-79" b="-147"/>
                    <a:stretch>
                      <a:fillRect/>
                    </a:stretch>
                  </pic:blipFill>
                  <pic:spPr bwMode="auto">
                    <a:xfrm>
                      <a:off x="0" y="0"/>
                      <a:ext cx="5029200" cy="2494915"/>
                    </a:xfrm>
                    <a:prstGeom prst="rect">
                      <a:avLst/>
                    </a:prstGeom>
                  </pic:spPr>
                </pic:pic>
              </a:graphicData>
            </a:graphic>
          </wp:inline>
        </w:drawing>
      </w:r>
    </w:p>
    <w:p>
      <w:pPr>
        <w:pStyle w:val="ListParagraph"/>
        <w:spacing w:lineRule="auto" w:line="240" w:before="0" w:after="0"/>
        <w:ind w:left="0" w:right="0" w:hanging="0"/>
        <w:jc w:val="center"/>
        <w:rPr>
          <w:rFonts w:ascii="Times New Roman" w:hAnsi="Times New Roman" w:cs="Times New Roman"/>
          <w:sz w:val="28"/>
          <w:szCs w:val="28"/>
        </w:rPr>
      </w:pPr>
      <w:r>
        <w:rPr>
          <w:rFonts w:cs="Times New Roman" w:ascii="Times New Roman" w:hAnsi="Times New Roman"/>
          <w:sz w:val="28"/>
          <w:szCs w:val="28"/>
        </w:rPr>
        <w:t>6.6. Здоровье</w:t>
      </w:r>
    </w:p>
    <w:p>
      <w:pPr>
        <w:pStyle w:val="ListParagraph"/>
        <w:spacing w:lineRule="auto" w:line="240" w:before="0" w:after="0"/>
        <w:ind w:left="0" w:right="0" w:hanging="0"/>
        <w:jc w:val="center"/>
        <w:rPr>
          <w:rFonts w:ascii="Times New Roman" w:hAnsi="Times New Roman" w:cs="Times New Roman"/>
          <w:sz w:val="28"/>
          <w:szCs w:val="28"/>
        </w:rPr>
      </w:pPr>
      <w:r>
        <w:rPr>
          <w:rFonts w:cs="Times New Roman" w:ascii="Times New Roman" w:hAnsi="Times New Roman"/>
          <w:sz w:val="28"/>
          <w:szCs w:val="28"/>
        </w:rPr>
      </w:r>
    </w:p>
    <w:p>
      <w:pPr>
        <w:pStyle w:val="ListParagraph"/>
        <w:spacing w:lineRule="auto" w:line="240" w:before="0" w:after="0"/>
        <w:ind w:left="0" w:right="0" w:firstLine="567"/>
        <w:jc w:val="both"/>
        <w:rPr>
          <w:rFonts w:ascii="Times New Roman" w:hAnsi="Times New Roman" w:cs="Times New Roman"/>
          <w:sz w:val="28"/>
          <w:szCs w:val="28"/>
        </w:rPr>
      </w:pPr>
      <w:r>
        <w:rPr>
          <w:rFonts w:cs="Times New Roman" w:ascii="Times New Roman" w:hAnsi="Times New Roman"/>
          <w:sz w:val="28"/>
          <w:szCs w:val="28"/>
        </w:rPr>
        <w:t>ГБУЗ «Кузбасский центр общественного здоровья и медицинской профилактики» проведено анкетирование населения по сохранению здоровья населением.</w:t>
      </w:r>
    </w:p>
    <w:p>
      <w:pPr>
        <w:pStyle w:val="ListParagraph"/>
        <w:spacing w:lineRule="auto" w:line="240" w:before="0" w:after="0"/>
        <w:ind w:left="0" w:right="0" w:firstLine="567"/>
        <w:jc w:val="both"/>
        <w:rPr>
          <w:rFonts w:ascii="Times New Roman" w:hAnsi="Times New Roman" w:cs="Times New Roman"/>
          <w:sz w:val="28"/>
          <w:szCs w:val="28"/>
        </w:rPr>
      </w:pPr>
      <w:r>
        <w:rPr>
          <w:rFonts w:cs="Times New Roman" w:ascii="Times New Roman" w:hAnsi="Times New Roman"/>
          <w:sz w:val="28"/>
          <w:szCs w:val="28"/>
        </w:rPr>
      </w:r>
    </w:p>
    <w:p>
      <w:pPr>
        <w:pStyle w:val="Normal"/>
        <w:ind w:firstLine="709"/>
        <w:jc w:val="both"/>
        <w:rPr/>
      </w:pPr>
      <w:r>
        <w:rPr>
          <w:sz w:val="28"/>
          <w:szCs w:val="28"/>
        </w:rPr>
        <w:t>Среди участников опроса сложилось следующее распределение по индексу массы тела (ИМТ):</w:t>
      </w:r>
      <w:r>
        <w:rPr>
          <w:color w:val="000000"/>
          <w:sz w:val="28"/>
          <w:szCs w:val="28"/>
        </w:rPr>
        <w:t xml:space="preserve"> дефицит массы тела имели 23</w:t>
      </w:r>
      <w:r>
        <w:rPr>
          <w:sz w:val="28"/>
          <w:szCs w:val="28"/>
        </w:rPr>
        <w:t xml:space="preserve"> человека или 5,49% опрошенных (16 или 7,55% – женщин и 7 или 3,38% - мужчин); нормальный ИМТ – 229 (54,65%) опрошенных (127 (59,91%) женщин и 102 (49,28%) мужчин); предожирение – 138 человек или 32,94% (58 или 27,36% - женщин и 80 или 38,65% - мужчин); ожирение </w:t>
      </w:r>
      <w:r>
        <w:rPr>
          <w:color w:val="000000"/>
          <w:sz w:val="28"/>
          <w:szCs w:val="28"/>
        </w:rPr>
        <w:t>I-</w:t>
      </w:r>
      <w:r>
        <w:rPr>
          <w:color w:val="000000"/>
          <w:sz w:val="28"/>
          <w:szCs w:val="28"/>
          <w:lang w:val="en-US"/>
        </w:rPr>
        <w:t>III</w:t>
      </w:r>
      <w:r>
        <w:rPr>
          <w:color w:val="000000"/>
          <w:sz w:val="28"/>
          <w:szCs w:val="28"/>
        </w:rPr>
        <w:t xml:space="preserve"> ст. – 29 человек или 6,92% </w:t>
      </w:r>
      <w:r>
        <w:rPr>
          <w:sz w:val="28"/>
          <w:szCs w:val="28"/>
        </w:rPr>
        <w:t>(11 или 5,19% - женщин и 18 или 8,70% - мужчин).</w:t>
      </w:r>
    </w:p>
    <w:p>
      <w:pPr>
        <w:pStyle w:val="Normal"/>
        <w:ind w:firstLine="709"/>
        <w:jc w:val="both"/>
        <w:rPr>
          <w:color w:val="000000"/>
          <w:sz w:val="28"/>
          <w:szCs w:val="28"/>
        </w:rPr>
      </w:pPr>
      <w:r>
        <w:rPr>
          <w:color w:val="000000"/>
          <w:sz w:val="28"/>
          <w:szCs w:val="28"/>
        </w:rPr>
      </w:r>
    </w:p>
    <w:p>
      <w:pPr>
        <w:pStyle w:val="Style28"/>
        <w:spacing w:lineRule="auto" w:line="240" w:before="0" w:after="0"/>
        <w:ind w:left="0" w:right="0" w:firstLine="709"/>
        <w:contextualSpacing/>
        <w:jc w:val="both"/>
        <w:rPr/>
      </w:pPr>
      <w:r>
        <w:rPr>
          <w:rFonts w:eastAsia="SimSun;宋体"/>
          <w:kern w:val="2"/>
          <w:sz w:val="28"/>
          <w:szCs w:val="28"/>
          <w:lang w:eastAsia="hi-IN" w:bidi="hi-IN"/>
        </w:rPr>
        <w:t>Вопрос «Повышенное артериальное давление у Вас бывает?»</w:t>
      </w:r>
      <w:r>
        <w:rPr>
          <w:sz w:val="28"/>
          <w:szCs w:val="28"/>
        </w:rPr>
        <w:t xml:space="preserve"> ответы распределились следующим образом:</w:t>
      </w:r>
    </w:p>
    <w:p>
      <w:pPr>
        <w:pStyle w:val="Style28"/>
        <w:widowControl w:val="false"/>
        <w:numPr>
          <w:ilvl w:val="0"/>
          <w:numId w:val="8"/>
        </w:numPr>
        <w:spacing w:lineRule="auto" w:line="240" w:before="0" w:after="0"/>
        <w:ind w:left="0" w:right="0" w:firstLine="709"/>
        <w:contextualSpacing/>
        <w:jc w:val="both"/>
        <w:rPr>
          <w:rFonts w:eastAsia="SimSun;宋体"/>
          <w:kern w:val="2"/>
          <w:sz w:val="28"/>
          <w:szCs w:val="28"/>
          <w:lang w:eastAsia="hi-IN" w:bidi="hi-IN"/>
        </w:rPr>
      </w:pPr>
      <w:r>
        <w:rPr>
          <w:rFonts w:eastAsia="SimSun;宋体"/>
          <w:kern w:val="2"/>
          <w:sz w:val="28"/>
          <w:szCs w:val="28"/>
          <w:lang w:eastAsia="hi-IN" w:bidi="hi-IN"/>
        </w:rPr>
        <w:t>«Редко» ответили 175 человек (41,77%), из них 87 женщин (41,04%) и 88 мужчин (42,51%);</w:t>
      </w:r>
    </w:p>
    <w:p>
      <w:pPr>
        <w:pStyle w:val="Style28"/>
        <w:widowControl w:val="false"/>
        <w:numPr>
          <w:ilvl w:val="0"/>
          <w:numId w:val="8"/>
        </w:numPr>
        <w:spacing w:lineRule="auto" w:line="240" w:before="0" w:after="0"/>
        <w:ind w:left="0" w:right="0" w:firstLine="709"/>
        <w:contextualSpacing/>
        <w:jc w:val="both"/>
        <w:rPr>
          <w:rFonts w:eastAsia="SimSun;宋体"/>
          <w:kern w:val="2"/>
          <w:sz w:val="28"/>
          <w:szCs w:val="28"/>
          <w:lang w:eastAsia="hi-IN" w:bidi="hi-IN"/>
        </w:rPr>
      </w:pPr>
      <w:r>
        <w:rPr>
          <w:rFonts w:eastAsia="SimSun;宋体"/>
          <w:kern w:val="2"/>
          <w:sz w:val="28"/>
          <w:szCs w:val="28"/>
          <w:lang w:eastAsia="hi-IN" w:bidi="hi-IN"/>
        </w:rPr>
        <w:t>«Постоянно» - 55 человек (13,13%), из них 31 женщина (14,62%) и 24 мужчины (11,59%);</w:t>
      </w:r>
    </w:p>
    <w:p>
      <w:pPr>
        <w:pStyle w:val="Style28"/>
        <w:widowControl w:val="false"/>
        <w:numPr>
          <w:ilvl w:val="0"/>
          <w:numId w:val="8"/>
        </w:numPr>
        <w:spacing w:lineRule="auto" w:line="240" w:before="0" w:after="0"/>
        <w:ind w:left="0" w:right="0" w:firstLine="709"/>
        <w:contextualSpacing/>
        <w:jc w:val="both"/>
        <w:rPr>
          <w:rFonts w:eastAsia="SimSun;宋体"/>
          <w:kern w:val="2"/>
          <w:sz w:val="28"/>
          <w:szCs w:val="28"/>
          <w:lang w:eastAsia="hi-IN" w:bidi="hi-IN"/>
        </w:rPr>
      </w:pPr>
      <w:r>
        <w:rPr>
          <w:rFonts w:eastAsia="SimSun;宋体"/>
          <w:kern w:val="2"/>
          <w:sz w:val="28"/>
          <w:szCs w:val="28"/>
          <w:lang w:eastAsia="hi-IN" w:bidi="hi-IN"/>
        </w:rPr>
        <w:t>«Никогда» - 110 человек (26,25%), из них 50 женщин (23,58%) и 60 мужчин (28,99%);</w:t>
      </w:r>
    </w:p>
    <w:p>
      <w:pPr>
        <w:pStyle w:val="Style28"/>
        <w:widowControl w:val="false"/>
        <w:numPr>
          <w:ilvl w:val="0"/>
          <w:numId w:val="8"/>
        </w:numPr>
        <w:spacing w:lineRule="auto" w:line="240" w:before="0" w:after="0"/>
        <w:ind w:left="0" w:right="0" w:firstLine="709"/>
        <w:contextualSpacing/>
        <w:jc w:val="both"/>
        <w:rPr>
          <w:rFonts w:eastAsia="SimSun;宋体"/>
          <w:kern w:val="2"/>
          <w:sz w:val="28"/>
          <w:szCs w:val="28"/>
          <w:lang w:eastAsia="hi-IN" w:bidi="hi-IN"/>
        </w:rPr>
      </w:pPr>
      <w:r>
        <w:rPr>
          <w:rFonts w:eastAsia="SimSun;宋体"/>
          <w:kern w:val="2"/>
          <w:sz w:val="28"/>
          <w:szCs w:val="28"/>
          <w:lang w:eastAsia="hi-IN" w:bidi="hi-IN"/>
        </w:rPr>
        <w:t>«Затрудняются ответить» - 79 человек (18,85%), из них 44 женщины (20,75%) и 35 мужчин (16,91%).</w:t>
      </w:r>
    </w:p>
    <w:p>
      <w:pPr>
        <w:pStyle w:val="ListParagraph"/>
        <w:spacing w:lineRule="auto" w:line="240" w:before="0" w:after="0"/>
        <w:ind w:left="0" w:right="0" w:hanging="0"/>
        <w:jc w:val="both"/>
        <w:rPr>
          <w:rFonts w:ascii="Times New Roman" w:hAnsi="Times New Roman" w:eastAsia="SimSun;宋体" w:cs="Times New Roman"/>
          <w:kern w:val="2"/>
          <w:sz w:val="28"/>
          <w:szCs w:val="28"/>
          <w:lang w:eastAsia="hi-IN" w:bidi="hi-IN"/>
        </w:rPr>
      </w:pPr>
      <w:r>
        <w:rPr>
          <w:rFonts w:eastAsia="SimSun;宋体" w:cs="Times New Roman" w:ascii="Times New Roman" w:hAnsi="Times New Roman"/>
          <w:kern w:val="2"/>
          <w:sz w:val="28"/>
          <w:szCs w:val="28"/>
          <w:lang w:eastAsia="hi-IN" w:bidi="hi-IN"/>
        </w:rPr>
      </w:r>
    </w:p>
    <w:p>
      <w:pPr>
        <w:pStyle w:val="Style28"/>
        <w:spacing w:lineRule="auto" w:line="240" w:before="0" w:after="0"/>
        <w:ind w:left="0" w:right="0" w:firstLine="709"/>
        <w:contextualSpacing/>
        <w:jc w:val="both"/>
        <w:rPr/>
      </w:pPr>
      <w:r>
        <w:rPr>
          <w:rFonts w:eastAsia="SimSun;宋体"/>
          <w:kern w:val="2"/>
          <w:sz w:val="28"/>
          <w:szCs w:val="28"/>
          <w:lang w:eastAsia="hi-IN" w:bidi="hi-IN"/>
        </w:rPr>
        <w:t>Вопрос «Знаете ли Вы уровень холестерина в Вашей крови?»</w:t>
      </w:r>
      <w:r>
        <w:rPr>
          <w:sz w:val="28"/>
          <w:szCs w:val="28"/>
        </w:rPr>
        <w:t xml:space="preserve"> ответы распределились следующим образом:</w:t>
      </w:r>
    </w:p>
    <w:p>
      <w:pPr>
        <w:pStyle w:val="Style28"/>
        <w:widowControl w:val="false"/>
        <w:numPr>
          <w:ilvl w:val="0"/>
          <w:numId w:val="9"/>
        </w:numPr>
        <w:spacing w:lineRule="auto" w:line="240" w:before="0" w:after="0"/>
        <w:ind w:left="0" w:right="0" w:firstLine="709"/>
        <w:contextualSpacing/>
        <w:jc w:val="both"/>
        <w:rPr>
          <w:rFonts w:eastAsia="SimSun;宋体"/>
          <w:kern w:val="2"/>
          <w:sz w:val="28"/>
          <w:szCs w:val="28"/>
          <w:lang w:eastAsia="hi-IN" w:bidi="hi-IN"/>
        </w:rPr>
      </w:pPr>
      <w:r>
        <w:rPr>
          <w:rFonts w:eastAsia="SimSun;宋体"/>
          <w:kern w:val="2"/>
          <w:sz w:val="28"/>
          <w:szCs w:val="28"/>
          <w:lang w:eastAsia="hi-IN" w:bidi="hi-IN"/>
        </w:rPr>
        <w:t>«Да» ответили 152 респондента (36,28%), из них 72 женщины (33,96%) и 80 мужчин (38,65%);</w:t>
      </w:r>
    </w:p>
    <w:p>
      <w:pPr>
        <w:pStyle w:val="Style28"/>
        <w:widowControl w:val="false"/>
        <w:numPr>
          <w:ilvl w:val="0"/>
          <w:numId w:val="9"/>
        </w:numPr>
        <w:spacing w:lineRule="auto" w:line="240" w:before="0" w:after="0"/>
        <w:ind w:left="0" w:right="0" w:firstLine="709"/>
        <w:contextualSpacing/>
        <w:jc w:val="both"/>
        <w:rPr>
          <w:rFonts w:eastAsia="SimSun;宋体"/>
          <w:kern w:val="2"/>
          <w:sz w:val="28"/>
          <w:szCs w:val="28"/>
          <w:lang w:eastAsia="hi-IN" w:bidi="hi-IN"/>
        </w:rPr>
      </w:pPr>
      <w:r>
        <w:rPr>
          <w:rFonts w:eastAsia="SimSun;宋体"/>
          <w:kern w:val="2"/>
          <w:sz w:val="28"/>
          <w:szCs w:val="28"/>
          <w:lang w:eastAsia="hi-IN" w:bidi="hi-IN"/>
        </w:rPr>
        <w:t>«Нет» - 158 человек (37,71%), из них 79 женщин (37,26%) и 79 мужчин (38,16%);</w:t>
      </w:r>
    </w:p>
    <w:p>
      <w:pPr>
        <w:pStyle w:val="Style28"/>
        <w:widowControl w:val="false"/>
        <w:numPr>
          <w:ilvl w:val="0"/>
          <w:numId w:val="9"/>
        </w:numPr>
        <w:spacing w:lineRule="auto" w:line="240" w:before="0" w:after="0"/>
        <w:ind w:left="0" w:right="0" w:firstLine="709"/>
        <w:contextualSpacing/>
        <w:jc w:val="both"/>
        <w:rPr/>
      </w:pPr>
      <w:r>
        <w:rPr>
          <w:rFonts w:eastAsia="SimSun;宋体"/>
          <w:kern w:val="2"/>
          <w:sz w:val="28"/>
          <w:szCs w:val="28"/>
          <w:lang w:eastAsia="hi-IN" w:bidi="hi-IN"/>
        </w:rPr>
        <w:t>«Затрудняюсь ответить»</w:t>
      </w:r>
      <w:r>
        <w:rPr>
          <w:rFonts w:eastAsia="SimSun;宋体"/>
          <w:b/>
          <w:bCs/>
          <w:kern w:val="2"/>
          <w:sz w:val="28"/>
          <w:szCs w:val="28"/>
          <w:lang w:eastAsia="hi-IN" w:bidi="hi-IN"/>
        </w:rPr>
        <w:t xml:space="preserve"> - </w:t>
      </w:r>
      <w:r>
        <w:rPr>
          <w:rFonts w:eastAsia="SimSun;宋体"/>
          <w:kern w:val="2"/>
          <w:sz w:val="28"/>
          <w:szCs w:val="28"/>
          <w:lang w:eastAsia="hi-IN" w:bidi="hi-IN"/>
        </w:rPr>
        <w:t>109 человек (26,01%), из них 61 женщина (28,77%) и 48 мужчин (23,19%).</w:t>
      </w:r>
    </w:p>
    <w:p>
      <w:pPr>
        <w:pStyle w:val="Style28"/>
        <w:widowControl w:val="false"/>
        <w:spacing w:lineRule="auto" w:line="240" w:before="0" w:after="0"/>
        <w:ind w:left="709" w:right="0" w:hanging="0"/>
        <w:contextualSpacing/>
        <w:jc w:val="both"/>
        <w:rPr>
          <w:rFonts w:eastAsia="SimSun;宋体"/>
          <w:kern w:val="2"/>
          <w:sz w:val="28"/>
          <w:szCs w:val="28"/>
          <w:lang w:eastAsia="hi-IN" w:bidi="hi-IN"/>
        </w:rPr>
      </w:pPr>
      <w:r>
        <w:rPr>
          <w:rFonts w:eastAsia="SimSun;宋体"/>
          <w:kern w:val="2"/>
          <w:sz w:val="28"/>
          <w:szCs w:val="28"/>
          <w:lang w:eastAsia="hi-IN" w:bidi="hi-IN"/>
        </w:rPr>
      </w:r>
    </w:p>
    <w:p>
      <w:pPr>
        <w:pStyle w:val="Style28"/>
        <w:spacing w:lineRule="auto" w:line="240" w:before="0" w:after="0"/>
        <w:ind w:left="0" w:right="0" w:firstLine="709"/>
        <w:contextualSpacing/>
        <w:jc w:val="both"/>
        <w:rPr/>
      </w:pPr>
      <w:r>
        <w:rPr>
          <w:rFonts w:eastAsia="SimSun;宋体"/>
          <w:kern w:val="2"/>
          <w:sz w:val="28"/>
          <w:szCs w:val="28"/>
          <w:lang w:eastAsia="hi-IN" w:bidi="hi-IN"/>
        </w:rPr>
        <w:t>Вопрос «Знаете ли Вы уровень сахара в Вашей крови?»</w:t>
      </w:r>
      <w:r>
        <w:rPr>
          <w:sz w:val="28"/>
          <w:szCs w:val="28"/>
        </w:rPr>
        <w:t xml:space="preserve"> ответы распределились следующим образом:</w:t>
      </w:r>
    </w:p>
    <w:p>
      <w:pPr>
        <w:pStyle w:val="Style28"/>
        <w:widowControl w:val="false"/>
        <w:numPr>
          <w:ilvl w:val="0"/>
          <w:numId w:val="9"/>
        </w:numPr>
        <w:spacing w:lineRule="auto" w:line="240" w:before="0" w:after="0"/>
        <w:ind w:left="0" w:right="0" w:firstLine="709"/>
        <w:contextualSpacing/>
        <w:jc w:val="both"/>
        <w:rPr>
          <w:rFonts w:eastAsia="SimSun;宋体"/>
          <w:kern w:val="2"/>
          <w:sz w:val="28"/>
          <w:szCs w:val="28"/>
          <w:lang w:eastAsia="hi-IN" w:bidi="hi-IN"/>
        </w:rPr>
      </w:pPr>
      <w:r>
        <w:rPr>
          <w:rFonts w:eastAsia="SimSun;宋体"/>
          <w:kern w:val="2"/>
          <w:sz w:val="28"/>
          <w:szCs w:val="28"/>
          <w:lang w:eastAsia="hi-IN" w:bidi="hi-IN"/>
        </w:rPr>
        <w:t>«Да» ответил 179 человек (42,72%), из них 92 женщины (43,40%) и 87 мужчин (42,03%);</w:t>
      </w:r>
    </w:p>
    <w:p>
      <w:pPr>
        <w:pStyle w:val="Style28"/>
        <w:widowControl w:val="false"/>
        <w:numPr>
          <w:ilvl w:val="0"/>
          <w:numId w:val="9"/>
        </w:numPr>
        <w:spacing w:lineRule="auto" w:line="240" w:before="0" w:after="0"/>
        <w:ind w:left="0" w:right="0" w:firstLine="709"/>
        <w:contextualSpacing/>
        <w:jc w:val="both"/>
        <w:rPr>
          <w:rFonts w:eastAsia="SimSun;宋体"/>
          <w:kern w:val="2"/>
          <w:sz w:val="28"/>
          <w:szCs w:val="28"/>
          <w:lang w:eastAsia="hi-IN" w:bidi="hi-IN"/>
        </w:rPr>
      </w:pPr>
      <w:r>
        <w:rPr>
          <w:rFonts w:eastAsia="SimSun;宋体"/>
          <w:kern w:val="2"/>
          <w:sz w:val="28"/>
          <w:szCs w:val="28"/>
          <w:lang w:eastAsia="hi-IN" w:bidi="hi-IN"/>
        </w:rPr>
        <w:t>«Нет» - 144 человека (34,37%), из них 68 женщин (32,08%) и 76 мужчин (36,71%);</w:t>
      </w:r>
    </w:p>
    <w:p>
      <w:pPr>
        <w:pStyle w:val="Style28"/>
        <w:widowControl w:val="false"/>
        <w:numPr>
          <w:ilvl w:val="0"/>
          <w:numId w:val="9"/>
        </w:numPr>
        <w:spacing w:lineRule="auto" w:line="240" w:before="0" w:after="0"/>
        <w:ind w:left="0" w:right="0" w:firstLine="709"/>
        <w:contextualSpacing/>
        <w:jc w:val="both"/>
        <w:rPr/>
      </w:pPr>
      <w:r>
        <w:rPr>
          <w:rFonts w:eastAsia="SimSun;宋体"/>
          <w:kern w:val="2"/>
          <w:sz w:val="28"/>
          <w:szCs w:val="28"/>
          <w:lang w:eastAsia="hi-IN" w:bidi="hi-IN"/>
        </w:rPr>
        <w:t>«Затрудняюсь ответить»</w:t>
      </w:r>
      <w:r>
        <w:rPr>
          <w:rFonts w:eastAsia="SimSun;宋体"/>
          <w:b/>
          <w:bCs/>
          <w:kern w:val="2"/>
          <w:sz w:val="28"/>
          <w:szCs w:val="28"/>
          <w:lang w:eastAsia="hi-IN" w:bidi="hi-IN"/>
        </w:rPr>
        <w:t xml:space="preserve"> - </w:t>
      </w:r>
      <w:r>
        <w:rPr>
          <w:rFonts w:eastAsia="SimSun;宋体"/>
          <w:kern w:val="2"/>
          <w:sz w:val="28"/>
          <w:szCs w:val="28"/>
          <w:lang w:eastAsia="hi-IN" w:bidi="hi-IN"/>
        </w:rPr>
        <w:t>96 человек (22,91%), из них 52 женщины (24,53%) и 44 мужчины (21,26%).</w:t>
      </w:r>
    </w:p>
    <w:p>
      <w:pPr>
        <w:pStyle w:val="Style28"/>
        <w:widowControl w:val="false"/>
        <w:spacing w:lineRule="auto" w:line="240" w:before="0" w:after="0"/>
        <w:contextualSpacing/>
        <w:jc w:val="both"/>
        <w:rPr>
          <w:rFonts w:eastAsia="SimSun;宋体"/>
          <w:kern w:val="2"/>
          <w:sz w:val="28"/>
          <w:szCs w:val="28"/>
          <w:lang w:eastAsia="hi-IN" w:bidi="hi-IN"/>
        </w:rPr>
      </w:pPr>
      <w:r>
        <w:rPr>
          <w:rFonts w:eastAsia="SimSun;宋体"/>
          <w:kern w:val="2"/>
          <w:sz w:val="28"/>
          <w:szCs w:val="28"/>
          <w:lang w:eastAsia="hi-IN" w:bidi="hi-IN"/>
        </w:rPr>
      </w:r>
    </w:p>
    <w:p>
      <w:pPr>
        <w:pStyle w:val="Normal"/>
        <w:widowControl w:val="false"/>
        <w:ind w:firstLine="709"/>
        <w:jc w:val="both"/>
        <w:rPr>
          <w:sz w:val="28"/>
          <w:szCs w:val="28"/>
        </w:rPr>
      </w:pPr>
      <w:r>
        <w:rPr>
          <w:sz w:val="28"/>
          <w:szCs w:val="28"/>
        </w:rPr>
        <w:t>Наибольшее количество респондентов ответили, что они знают свой уровень сахара крови – 179 человек (42,72%). При этом доля ответивших «нет» и «затруднившихся с ответом» составила 57,28%, вероятно это связано с малой доступностью в использовании портативных средств измерения или респонденты не обследованы в условиях медицинских организациях.</w:t>
      </w:r>
    </w:p>
    <w:p>
      <w:pPr>
        <w:pStyle w:val="ListParagraph"/>
        <w:spacing w:lineRule="auto" w:line="240" w:before="0" w:after="0"/>
        <w:ind w:left="0" w:right="0" w:hanging="0"/>
        <w:jc w:val="both"/>
        <w:rPr>
          <w:rFonts w:ascii="Times New Roman" w:hAnsi="Times New Roman" w:cs="Times New Roman"/>
          <w:sz w:val="28"/>
          <w:szCs w:val="28"/>
        </w:rPr>
      </w:pPr>
      <w:r>
        <w:rPr>
          <w:rFonts w:cs="Times New Roman" w:ascii="Times New Roman" w:hAnsi="Times New Roman"/>
          <w:sz w:val="28"/>
          <w:szCs w:val="28"/>
        </w:rPr>
      </w:r>
    </w:p>
    <w:p>
      <w:pPr>
        <w:pStyle w:val="Normal"/>
        <w:suppressAutoHyphens w:val="false"/>
        <w:spacing w:lineRule="auto" w:line="252" w:before="0" w:after="160"/>
        <w:ind w:left="851" w:hanging="0"/>
        <w:jc w:val="center"/>
        <w:textAlignment w:val="baseline"/>
        <w:rPr/>
      </w:pPr>
      <w:r>
        <w:rPr>
          <w:sz w:val="28"/>
          <w:szCs w:val="28"/>
        </w:rPr>
        <w:t>6.7</w:t>
      </w:r>
      <w:bookmarkStart w:id="15" w:name="_Hlk161654154"/>
      <w:r>
        <w:rPr>
          <w:b/>
          <w:bCs/>
          <w:sz w:val="28"/>
          <w:szCs w:val="28"/>
          <w:lang w:eastAsia="ru-RU"/>
        </w:rPr>
        <w:t xml:space="preserve"> </w:t>
      </w:r>
      <w:r>
        <w:rPr>
          <w:sz w:val="28"/>
          <w:szCs w:val="28"/>
          <w:lang w:eastAsia="ru-RU"/>
        </w:rPr>
        <w:t>Культурный досуг. Отдых</w:t>
      </w:r>
    </w:p>
    <w:p>
      <w:pPr>
        <w:pStyle w:val="Normal"/>
        <w:rPr>
          <w:rFonts w:eastAsia="Calibri"/>
          <w:i/>
          <w:i/>
          <w:iCs/>
          <w:sz w:val="28"/>
          <w:szCs w:val="28"/>
        </w:rPr>
      </w:pPr>
      <w:bookmarkEnd w:id="15"/>
      <w:r>
        <w:rPr>
          <w:rFonts w:eastAsia="Calibri"/>
          <w:i/>
          <w:iCs/>
          <w:sz w:val="28"/>
          <w:szCs w:val="28"/>
        </w:rPr>
        <w:t xml:space="preserve">Таблица 27. </w:t>
      </w:r>
      <w:bookmarkStart w:id="16" w:name="_Hlk161654164"/>
      <w:r>
        <w:rPr>
          <w:rFonts w:eastAsia="Calibri"/>
          <w:i/>
          <w:iCs/>
          <w:sz w:val="28"/>
          <w:szCs w:val="28"/>
        </w:rPr>
        <w:t xml:space="preserve">Основные показатели культуры </w:t>
      </w:r>
      <w:bookmarkEnd w:id="16"/>
    </w:p>
    <w:tbl>
      <w:tblPr>
        <w:tblW w:w="9494" w:type="dxa"/>
        <w:jc w:val="center"/>
        <w:tblInd w:w="0" w:type="dxa"/>
        <w:tblLayout w:type="fixed"/>
        <w:tblCellMar>
          <w:top w:w="0" w:type="dxa"/>
          <w:left w:w="108" w:type="dxa"/>
          <w:bottom w:w="0" w:type="dxa"/>
          <w:right w:w="108" w:type="dxa"/>
        </w:tblCellMar>
      </w:tblPr>
      <w:tblGrid>
        <w:gridCol w:w="5018"/>
        <w:gridCol w:w="852"/>
        <w:gridCol w:w="944"/>
        <w:gridCol w:w="817"/>
        <w:gridCol w:w="1863"/>
      </w:tblGrid>
      <w:tr>
        <w:trPr/>
        <w:tc>
          <w:tcPr>
            <w:tcW w:w="5018"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r>
          </w:p>
        </w:tc>
        <w:tc>
          <w:tcPr>
            <w:tcW w:w="852" w:type="dxa"/>
            <w:tcBorders>
              <w:top w:val="single" w:sz="4" w:space="0" w:color="000000"/>
              <w:left w:val="single" w:sz="4" w:space="0" w:color="000000"/>
              <w:bottom w:val="single" w:sz="4" w:space="0" w:color="000000"/>
              <w:right w:val="single" w:sz="4" w:space="0" w:color="000000"/>
            </w:tcBorders>
          </w:tcPr>
          <w:p>
            <w:pPr>
              <w:pStyle w:val="Normal"/>
              <w:suppressAutoHyphens w:val="false"/>
              <w:jc w:val="center"/>
              <w:rPr>
                <w:rFonts w:eastAsia="Calibri"/>
                <w:bCs/>
                <w:sz w:val="24"/>
                <w:szCs w:val="24"/>
                <w:lang w:eastAsia="en-US"/>
              </w:rPr>
            </w:pPr>
            <w:r>
              <w:rPr>
                <w:rFonts w:eastAsia="Calibri"/>
                <w:bCs/>
                <w:sz w:val="24"/>
                <w:szCs w:val="24"/>
                <w:lang w:eastAsia="en-US"/>
              </w:rPr>
              <w:t>2020</w:t>
            </w:r>
          </w:p>
        </w:tc>
        <w:tc>
          <w:tcPr>
            <w:tcW w:w="944" w:type="dxa"/>
            <w:tcBorders>
              <w:top w:val="single" w:sz="4" w:space="0" w:color="000000"/>
              <w:left w:val="single" w:sz="4" w:space="0" w:color="000000"/>
              <w:bottom w:val="single" w:sz="4" w:space="0" w:color="000000"/>
              <w:right w:val="single" w:sz="4" w:space="0" w:color="000000"/>
            </w:tcBorders>
          </w:tcPr>
          <w:p>
            <w:pPr>
              <w:pStyle w:val="Normal"/>
              <w:suppressAutoHyphens w:val="false"/>
              <w:jc w:val="center"/>
              <w:rPr>
                <w:rFonts w:eastAsia="Calibri"/>
                <w:bCs/>
                <w:sz w:val="24"/>
                <w:szCs w:val="24"/>
                <w:lang w:eastAsia="en-US"/>
              </w:rPr>
            </w:pPr>
            <w:r>
              <w:rPr>
                <w:rFonts w:eastAsia="Calibri"/>
                <w:bCs/>
                <w:sz w:val="24"/>
                <w:szCs w:val="24"/>
                <w:lang w:eastAsia="en-US"/>
              </w:rPr>
              <w:t>2021</w:t>
            </w:r>
          </w:p>
        </w:tc>
        <w:tc>
          <w:tcPr>
            <w:tcW w:w="817" w:type="dxa"/>
            <w:tcBorders>
              <w:top w:val="single" w:sz="4" w:space="0" w:color="000000"/>
              <w:left w:val="single" w:sz="4" w:space="0" w:color="000000"/>
              <w:bottom w:val="single" w:sz="4" w:space="0" w:color="000000"/>
              <w:right w:val="single" w:sz="4" w:space="0" w:color="000000"/>
            </w:tcBorders>
          </w:tcPr>
          <w:p>
            <w:pPr>
              <w:pStyle w:val="Normal"/>
              <w:suppressAutoHyphens w:val="false"/>
              <w:jc w:val="center"/>
              <w:rPr>
                <w:rFonts w:eastAsia="Calibri"/>
                <w:bCs/>
                <w:sz w:val="24"/>
                <w:szCs w:val="24"/>
                <w:lang w:eastAsia="en-US"/>
              </w:rPr>
            </w:pPr>
            <w:r>
              <w:rPr>
                <w:rFonts w:eastAsia="Calibri"/>
                <w:bCs/>
                <w:sz w:val="24"/>
                <w:szCs w:val="24"/>
                <w:lang w:eastAsia="en-US"/>
              </w:rPr>
              <w:t>2022</w:t>
            </w:r>
          </w:p>
        </w:tc>
        <w:tc>
          <w:tcPr>
            <w:tcW w:w="1863" w:type="dxa"/>
            <w:tcBorders>
              <w:top w:val="single" w:sz="4" w:space="0" w:color="000000"/>
              <w:left w:val="single" w:sz="4" w:space="0" w:color="000000"/>
              <w:bottom w:val="single" w:sz="4" w:space="0" w:color="000000"/>
              <w:right w:val="single" w:sz="4" w:space="0" w:color="000000"/>
            </w:tcBorders>
          </w:tcPr>
          <w:p>
            <w:pPr>
              <w:pStyle w:val="Normal"/>
              <w:suppressAutoHyphens w:val="false"/>
              <w:jc w:val="center"/>
              <w:rPr>
                <w:rFonts w:eastAsia="Calibri"/>
                <w:bCs/>
                <w:sz w:val="24"/>
                <w:szCs w:val="24"/>
                <w:lang w:eastAsia="ru-RU"/>
              </w:rPr>
            </w:pPr>
            <w:r>
              <w:rPr>
                <w:rFonts w:eastAsia="Calibri"/>
                <w:bCs/>
                <w:sz w:val="24"/>
                <w:szCs w:val="24"/>
                <w:lang w:eastAsia="ru-RU"/>
              </w:rPr>
              <w:t>темп прироста/</w:t>
            </w:r>
          </w:p>
          <w:p>
            <w:pPr>
              <w:pStyle w:val="Normal"/>
              <w:suppressAutoHyphens w:val="false"/>
              <w:jc w:val="center"/>
              <w:rPr>
                <w:rFonts w:eastAsia="Calibri"/>
                <w:bCs/>
                <w:sz w:val="24"/>
                <w:szCs w:val="24"/>
                <w:lang w:eastAsia="ru-RU"/>
              </w:rPr>
            </w:pPr>
            <w:r>
              <w:rPr>
                <w:rFonts w:eastAsia="Calibri"/>
                <w:bCs/>
                <w:sz w:val="24"/>
                <w:szCs w:val="24"/>
                <w:lang w:eastAsia="ru-RU"/>
              </w:rPr>
              <w:t>убыли, %</w:t>
            </w:r>
          </w:p>
        </w:tc>
      </w:tr>
      <w:tr>
        <w:trPr/>
        <w:tc>
          <w:tcPr>
            <w:tcW w:w="5018" w:type="dxa"/>
            <w:tcBorders>
              <w:top w:val="single" w:sz="4" w:space="0" w:color="000000"/>
              <w:left w:val="single" w:sz="4" w:space="0" w:color="000000"/>
              <w:bottom w:val="single" w:sz="4" w:space="0" w:color="000000"/>
              <w:right w:val="single" w:sz="4" w:space="0" w:color="000000"/>
            </w:tcBorders>
          </w:tcPr>
          <w:p>
            <w:pPr>
              <w:pStyle w:val="Normal"/>
              <w:suppressAutoHyphens w:val="false"/>
              <w:rPr>
                <w:rFonts w:eastAsia="Calibri"/>
                <w:bCs/>
                <w:sz w:val="24"/>
                <w:szCs w:val="24"/>
                <w:lang w:eastAsia="en-US"/>
              </w:rPr>
            </w:pPr>
            <w:r>
              <w:rPr>
                <w:rFonts w:eastAsia="Calibri"/>
                <w:bCs/>
                <w:sz w:val="24"/>
                <w:szCs w:val="24"/>
                <w:lang w:eastAsia="en-US"/>
              </w:rPr>
              <w:t>Число музеев и выставочных залов, включая филиалы (на конец года)</w:t>
            </w:r>
          </w:p>
        </w:tc>
        <w:tc>
          <w:tcPr>
            <w:tcW w:w="852"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3</w:t>
            </w:r>
          </w:p>
        </w:tc>
        <w:tc>
          <w:tcPr>
            <w:tcW w:w="944"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3</w:t>
            </w:r>
          </w:p>
        </w:tc>
        <w:tc>
          <w:tcPr>
            <w:tcW w:w="817"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3</w:t>
            </w:r>
          </w:p>
        </w:tc>
        <w:tc>
          <w:tcPr>
            <w:tcW w:w="1863"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0</w:t>
            </w:r>
          </w:p>
        </w:tc>
      </w:tr>
      <w:tr>
        <w:trPr/>
        <w:tc>
          <w:tcPr>
            <w:tcW w:w="5018" w:type="dxa"/>
            <w:tcBorders>
              <w:top w:val="single" w:sz="4" w:space="0" w:color="000000"/>
              <w:left w:val="single" w:sz="4" w:space="0" w:color="000000"/>
              <w:bottom w:val="single" w:sz="4" w:space="0" w:color="000000"/>
              <w:right w:val="single" w:sz="4" w:space="0" w:color="000000"/>
            </w:tcBorders>
          </w:tcPr>
          <w:p>
            <w:pPr>
              <w:pStyle w:val="Normal"/>
              <w:suppressAutoHyphens w:val="false"/>
              <w:rPr>
                <w:rFonts w:eastAsia="Calibri"/>
                <w:bCs/>
                <w:sz w:val="24"/>
                <w:szCs w:val="24"/>
                <w:lang w:eastAsia="en-US"/>
              </w:rPr>
            </w:pPr>
            <w:r>
              <w:rPr>
                <w:rFonts w:eastAsia="Calibri"/>
                <w:bCs/>
                <w:sz w:val="24"/>
                <w:szCs w:val="24"/>
                <w:lang w:eastAsia="en-US"/>
              </w:rPr>
              <w:t>Число учреждений культурно-досугового типа (на конец года)</w:t>
            </w:r>
          </w:p>
        </w:tc>
        <w:tc>
          <w:tcPr>
            <w:tcW w:w="852"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21</w:t>
            </w:r>
          </w:p>
        </w:tc>
        <w:tc>
          <w:tcPr>
            <w:tcW w:w="944"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21</w:t>
            </w:r>
          </w:p>
        </w:tc>
        <w:tc>
          <w:tcPr>
            <w:tcW w:w="817"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22</w:t>
            </w:r>
          </w:p>
        </w:tc>
        <w:tc>
          <w:tcPr>
            <w:tcW w:w="1863"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+15</w:t>
            </w:r>
          </w:p>
        </w:tc>
      </w:tr>
      <w:tr>
        <w:trPr/>
        <w:tc>
          <w:tcPr>
            <w:tcW w:w="5018" w:type="dxa"/>
            <w:tcBorders>
              <w:top w:val="single" w:sz="4" w:space="0" w:color="000000"/>
              <w:left w:val="single" w:sz="4" w:space="0" w:color="000000"/>
              <w:bottom w:val="single" w:sz="4" w:space="0" w:color="000000"/>
              <w:right w:val="single" w:sz="4" w:space="0" w:color="000000"/>
            </w:tcBorders>
          </w:tcPr>
          <w:p>
            <w:pPr>
              <w:pStyle w:val="Normal"/>
              <w:suppressAutoHyphens w:val="false"/>
              <w:rPr>
                <w:rFonts w:eastAsia="Calibri"/>
                <w:bCs/>
                <w:sz w:val="24"/>
                <w:szCs w:val="24"/>
                <w:lang w:eastAsia="en-US"/>
              </w:rPr>
            </w:pPr>
            <w:r>
              <w:rPr>
                <w:rFonts w:eastAsia="Calibri"/>
                <w:bCs/>
                <w:sz w:val="24"/>
                <w:szCs w:val="24"/>
                <w:lang w:eastAsia="en-US"/>
              </w:rPr>
              <w:t>Число общедоступных библиотек (на конец года)</w:t>
            </w:r>
          </w:p>
        </w:tc>
        <w:tc>
          <w:tcPr>
            <w:tcW w:w="852"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21</w:t>
            </w:r>
          </w:p>
        </w:tc>
        <w:tc>
          <w:tcPr>
            <w:tcW w:w="944"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21</w:t>
            </w:r>
          </w:p>
        </w:tc>
        <w:tc>
          <w:tcPr>
            <w:tcW w:w="817"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21</w:t>
            </w:r>
          </w:p>
        </w:tc>
        <w:tc>
          <w:tcPr>
            <w:tcW w:w="1863"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0</w:t>
            </w:r>
          </w:p>
        </w:tc>
      </w:tr>
      <w:tr>
        <w:trPr/>
        <w:tc>
          <w:tcPr>
            <w:tcW w:w="5018" w:type="dxa"/>
            <w:tcBorders>
              <w:top w:val="single" w:sz="4" w:space="0" w:color="000000"/>
              <w:left w:val="single" w:sz="4" w:space="0" w:color="000000"/>
              <w:bottom w:val="single" w:sz="4" w:space="0" w:color="000000"/>
              <w:right w:val="single" w:sz="4" w:space="0" w:color="000000"/>
            </w:tcBorders>
          </w:tcPr>
          <w:p>
            <w:pPr>
              <w:pStyle w:val="Normal"/>
              <w:suppressAutoHyphens w:val="false"/>
              <w:rPr>
                <w:rFonts w:eastAsia="Calibri"/>
                <w:bCs/>
                <w:sz w:val="24"/>
                <w:szCs w:val="24"/>
                <w:lang w:eastAsia="en-US"/>
              </w:rPr>
            </w:pPr>
            <w:r>
              <w:rPr>
                <w:rFonts w:eastAsia="Calibri"/>
                <w:bCs/>
                <w:sz w:val="24"/>
                <w:szCs w:val="24"/>
                <w:lang w:eastAsia="en-US"/>
              </w:rPr>
              <w:t xml:space="preserve">Число парков культуры и отдыха </w:t>
            </w:r>
          </w:p>
        </w:tc>
        <w:tc>
          <w:tcPr>
            <w:tcW w:w="852"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5</w:t>
            </w:r>
          </w:p>
        </w:tc>
        <w:tc>
          <w:tcPr>
            <w:tcW w:w="944"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7</w:t>
            </w:r>
          </w:p>
        </w:tc>
        <w:tc>
          <w:tcPr>
            <w:tcW w:w="817"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9</w:t>
            </w:r>
          </w:p>
        </w:tc>
        <w:tc>
          <w:tcPr>
            <w:tcW w:w="1863" w:type="dxa"/>
            <w:tcBorders>
              <w:top w:val="single" w:sz="4" w:space="0" w:color="000000"/>
              <w:left w:val="single" w:sz="4" w:space="0" w:color="000000"/>
              <w:bottom w:val="single" w:sz="4" w:space="0" w:color="000000"/>
              <w:right w:val="single" w:sz="4" w:space="0" w:color="000000"/>
            </w:tcBorders>
          </w:tcPr>
          <w:p>
            <w:pPr>
              <w:pStyle w:val="Normal"/>
              <w:suppressAutoHyphens w:val="false"/>
              <w:snapToGrid w:val="false"/>
              <w:rPr>
                <w:rFonts w:eastAsia="Calibri"/>
                <w:bCs/>
                <w:sz w:val="24"/>
                <w:szCs w:val="24"/>
                <w:lang w:eastAsia="en-US"/>
              </w:rPr>
            </w:pPr>
            <w:r>
              <w:rPr>
                <w:rFonts w:eastAsia="Calibri"/>
                <w:bCs/>
                <w:sz w:val="24"/>
                <w:szCs w:val="24"/>
                <w:lang w:eastAsia="en-US"/>
              </w:rPr>
              <w:t>+45</w:t>
            </w:r>
          </w:p>
        </w:tc>
      </w:tr>
    </w:tbl>
    <w:p>
      <w:pPr>
        <w:pStyle w:val="ListParagraph"/>
        <w:spacing w:lineRule="auto" w:line="240" w:before="0" w:after="0"/>
        <w:ind w:left="0" w:right="0" w:hanging="0"/>
        <w:jc w:val="center"/>
        <w:rPr>
          <w:rFonts w:ascii="Times New Roman" w:hAnsi="Times New Roman" w:cs="Times New Roman"/>
          <w:sz w:val="28"/>
          <w:szCs w:val="28"/>
        </w:rPr>
      </w:pPr>
      <w:r>
        <w:rPr>
          <w:rFonts w:cs="Times New Roman" w:ascii="Times New Roman" w:hAnsi="Times New Roman"/>
          <w:sz w:val="28"/>
          <w:szCs w:val="28"/>
        </w:rPr>
      </w:r>
    </w:p>
    <w:p>
      <w:pPr>
        <w:pStyle w:val="ListParagraph"/>
        <w:spacing w:lineRule="auto" w:line="240" w:before="0" w:after="0"/>
        <w:ind w:left="0" w:right="0" w:hanging="0"/>
        <w:jc w:val="both"/>
        <w:rPr>
          <w:rFonts w:ascii="Times New Roman" w:hAnsi="Times New Roman" w:cs="Times New Roman"/>
          <w:sz w:val="28"/>
          <w:szCs w:val="28"/>
        </w:rPr>
      </w:pPr>
      <w:r>
        <w:rPr>
          <w:rFonts w:cs="Times New Roman" w:ascii="Times New Roman" w:hAnsi="Times New Roman"/>
          <w:sz w:val="28"/>
          <w:szCs w:val="28"/>
        </w:rPr>
      </w:r>
    </w:p>
    <w:p>
      <w:pPr>
        <w:pStyle w:val="ListParagraph"/>
        <w:numPr>
          <w:ilvl w:val="0"/>
          <w:numId w:val="6"/>
        </w:numPr>
        <w:spacing w:lineRule="auto" w:line="240" w:before="0" w:after="0"/>
        <w:ind w:left="0" w:right="0" w:hanging="0"/>
        <w:jc w:val="center"/>
        <w:rPr>
          <w:rFonts w:ascii="Times New Roman" w:hAnsi="Times New Roman" w:cs="Times New Roman"/>
          <w:b/>
          <w:b/>
          <w:bCs/>
          <w:sz w:val="28"/>
          <w:szCs w:val="28"/>
        </w:rPr>
      </w:pPr>
      <w:bookmarkStart w:id="17" w:name="_Hlk32933719"/>
      <w:bookmarkEnd w:id="17"/>
      <w:r>
        <w:rPr>
          <w:rFonts w:cs="Times New Roman" w:ascii="Times New Roman" w:hAnsi="Times New Roman"/>
          <w:b/>
          <w:bCs/>
          <w:sz w:val="28"/>
          <w:szCs w:val="28"/>
        </w:rPr>
        <w:t>Общая характеристика системы управления здравоохранением</w:t>
      </w:r>
    </w:p>
    <w:p>
      <w:pPr>
        <w:pStyle w:val="ListParagraph"/>
        <w:spacing w:lineRule="auto" w:line="240" w:before="0" w:after="0"/>
        <w:ind w:left="0" w:right="0" w:hanging="0"/>
        <w:rPr>
          <w:rFonts w:ascii="Times New Roman" w:hAnsi="Times New Roman" w:cs="Times New Roman"/>
          <w:b/>
          <w:b/>
          <w:bCs/>
          <w:sz w:val="28"/>
          <w:szCs w:val="28"/>
        </w:rPr>
      </w:pPr>
      <w:r>
        <w:rPr>
          <w:rFonts w:cs="Times New Roman" w:ascii="Times New Roman" w:hAnsi="Times New Roman"/>
          <w:b/>
          <w:bCs/>
          <w:sz w:val="28"/>
          <w:szCs w:val="28"/>
        </w:rPr>
      </w:r>
    </w:p>
    <w:p>
      <w:pPr>
        <w:pStyle w:val="Normal"/>
        <w:ind w:firstLine="709"/>
        <w:jc w:val="both"/>
        <w:rPr>
          <w:sz w:val="28"/>
          <w:szCs w:val="28"/>
        </w:rPr>
      </w:pPr>
      <w:bookmarkStart w:id="18" w:name="__DdeLink__13_2108389886"/>
      <w:r>
        <w:rPr>
          <w:sz w:val="28"/>
          <w:szCs w:val="28"/>
        </w:rPr>
        <w:t>Топкинский филиал Государственное автономное учреждение здравоохранения «Кузбасский клинический госпиталь ветеранов войн»</w:t>
      </w:r>
      <w:bookmarkEnd w:id="18"/>
      <w:r>
        <w:rPr>
          <w:sz w:val="28"/>
          <w:szCs w:val="28"/>
        </w:rPr>
        <w:t xml:space="preserve"> (ТФ ГАУЗ ККГВВ) является учреждением отраслевой компетенции, проводящим государственную политику и осуществляющим полномочия в сфере охраны здоровья населения Топкинского муниципального округа, льготного обеспечения лекарственными препаратами для медицинского применения и медицинскими изделиями населения на территории Топкинского муниципального округа. </w:t>
      </w:r>
    </w:p>
    <w:p>
      <w:pPr>
        <w:pStyle w:val="Normal"/>
        <w:ind w:firstLine="709"/>
        <w:jc w:val="both"/>
        <w:rPr>
          <w:sz w:val="28"/>
          <w:szCs w:val="28"/>
        </w:rPr>
      </w:pPr>
      <w:r>
        <w:rPr>
          <w:sz w:val="28"/>
          <w:szCs w:val="28"/>
        </w:rPr>
        <w:t xml:space="preserve">В своей деятельности ТФ ГАУЗ ККГВВ руководствуется Конституцией Российской Федерации, федеральными законами, нормативными правовыми актами Президента Российской Федерации, нормативными правовыми актами Правительства Российской Федерации, постановлениями и другими нормативными правовыми актами федеральных органов исполнительной власти, законами Кемеровской области - Кузбасса, и другими нормативными правовыми актами Кемеровской области - Кузбасса. </w:t>
      </w:r>
    </w:p>
    <w:p>
      <w:pPr>
        <w:pStyle w:val="Normal"/>
        <w:ind w:firstLine="709"/>
        <w:jc w:val="both"/>
        <w:rPr>
          <w:sz w:val="28"/>
          <w:szCs w:val="28"/>
        </w:rPr>
      </w:pPr>
      <w:r>
        <w:rPr>
          <w:sz w:val="28"/>
          <w:szCs w:val="28"/>
        </w:rPr>
        <w:t xml:space="preserve">ТФ ГАУЗ ККГВВ осуществляет свою деятельность во взаимодействии с органами государственной власти Кемеровской области- Кузбасса, органами местного самоуправления Топкинского муниципального округа, государственными учреждениями, общественными объединениями и иными организациями. </w:t>
      </w:r>
    </w:p>
    <w:p>
      <w:pPr>
        <w:pStyle w:val="Normal"/>
        <w:ind w:firstLine="709"/>
        <w:jc w:val="both"/>
        <w:rPr>
          <w:sz w:val="28"/>
          <w:szCs w:val="28"/>
        </w:rPr>
      </w:pPr>
      <w:r>
        <w:rPr>
          <w:sz w:val="28"/>
          <w:szCs w:val="28"/>
        </w:rPr>
        <w:t>В структуре Топкинского филиала: детская поликлиника, взрослая поликлиника, стационар, отделение скорой медицинской помощи, 24 ФАПа, 4 ОВП.</w:t>
      </w:r>
    </w:p>
    <w:p>
      <w:pPr>
        <w:pStyle w:val="Normal"/>
        <w:ind w:firstLine="709"/>
        <w:jc w:val="both"/>
        <w:rPr>
          <w:sz w:val="28"/>
          <w:szCs w:val="28"/>
        </w:rPr>
      </w:pPr>
      <w:r>
        <w:rPr>
          <w:sz w:val="28"/>
          <w:szCs w:val="28"/>
        </w:rPr>
        <w:t xml:space="preserve">Работу ТФ ГАУЗ ККГВВ координирует министр здравоохранения Кемеровской области - Кузбасса. </w:t>
      </w:r>
    </w:p>
    <w:p>
      <w:pPr>
        <w:pStyle w:val="Normal"/>
        <w:ind w:firstLine="709"/>
        <w:jc w:val="both"/>
        <w:rPr>
          <w:sz w:val="28"/>
          <w:szCs w:val="28"/>
        </w:rPr>
      </w:pPr>
      <w:r>
        <w:rPr>
          <w:sz w:val="28"/>
          <w:szCs w:val="28"/>
        </w:rPr>
      </w:r>
    </w:p>
    <w:p>
      <w:pPr>
        <w:pStyle w:val="Normal"/>
        <w:ind w:firstLine="709"/>
        <w:jc w:val="both"/>
        <w:rPr>
          <w:sz w:val="28"/>
          <w:szCs w:val="28"/>
        </w:rPr>
      </w:pPr>
      <w:r>
        <w:rPr>
          <w:sz w:val="28"/>
          <w:szCs w:val="28"/>
        </w:rPr>
        <w:t>Кроме того, на территории больничного городка расположен филиал областной стоматологии.</w:t>
      </w:r>
    </w:p>
    <w:p>
      <w:pPr>
        <w:pStyle w:val="Normal"/>
        <w:ind w:firstLine="709"/>
        <w:jc w:val="both"/>
        <w:rPr>
          <w:sz w:val="28"/>
          <w:szCs w:val="28"/>
        </w:rPr>
      </w:pPr>
      <w:r>
        <w:rPr>
          <w:sz w:val="28"/>
          <w:szCs w:val="28"/>
        </w:rPr>
      </w:r>
    </w:p>
    <w:p>
      <w:pPr>
        <w:pStyle w:val="Normal"/>
        <w:ind w:firstLine="709"/>
        <w:jc w:val="both"/>
        <w:rPr>
          <w:sz w:val="28"/>
          <w:szCs w:val="28"/>
        </w:rPr>
      </w:pPr>
      <w:r>
        <w:rPr>
          <w:sz w:val="28"/>
          <w:szCs w:val="28"/>
        </w:rPr>
        <w:t>В системе здравоохранения Топкинского муниципального округа также функционирует ведомственное лечебное учреждение – РЖД поликлиника №2 на станции Топки.</w:t>
      </w:r>
    </w:p>
    <w:p>
      <w:pPr>
        <w:pStyle w:val="Normal"/>
        <w:ind w:firstLine="709"/>
        <w:jc w:val="both"/>
        <w:rPr>
          <w:sz w:val="28"/>
          <w:szCs w:val="28"/>
        </w:rPr>
      </w:pPr>
      <w:r>
        <w:rPr>
          <w:sz w:val="28"/>
          <w:szCs w:val="28"/>
        </w:rPr>
      </w:r>
    </w:p>
    <w:p>
      <w:pPr>
        <w:pStyle w:val="Normal"/>
        <w:ind w:firstLine="709"/>
        <w:rPr>
          <w:i/>
          <w:i/>
          <w:iCs/>
          <w:sz w:val="28"/>
          <w:szCs w:val="28"/>
        </w:rPr>
      </w:pPr>
      <w:r>
        <w:rPr>
          <w:i/>
          <w:iCs/>
          <w:sz w:val="28"/>
          <w:szCs w:val="28"/>
        </w:rPr>
        <w:t>Таблица 28. Численность врачей</w:t>
      </w:r>
    </w:p>
    <w:tbl>
      <w:tblPr>
        <w:tblW w:w="8935" w:type="dxa"/>
        <w:jc w:val="center"/>
        <w:tblInd w:w="0" w:type="dxa"/>
        <w:tblLayout w:type="fixed"/>
        <w:tblCellMar>
          <w:top w:w="0" w:type="dxa"/>
          <w:left w:w="28" w:type="dxa"/>
          <w:bottom w:w="0" w:type="dxa"/>
          <w:right w:w="28" w:type="dxa"/>
        </w:tblCellMar>
      </w:tblPr>
      <w:tblGrid>
        <w:gridCol w:w="3349"/>
        <w:gridCol w:w="1862"/>
        <w:gridCol w:w="1862"/>
        <w:gridCol w:w="1862"/>
      </w:tblGrid>
      <w:tr>
        <w:trPr>
          <w:trHeight w:val="251" w:hRule="atLeast"/>
        </w:trPr>
        <w:tc>
          <w:tcPr>
            <w:tcW w:w="3349" w:type="dxa"/>
            <w:tcBorders>
              <w:top w:val="double" w:sz="4" w:space="0" w:color="000000"/>
              <w:left w:val="double" w:sz="4" w:space="0" w:color="000000"/>
              <w:bottom w:val="single" w:sz="4" w:space="0" w:color="000000"/>
              <w:right w:val="single" w:sz="4" w:space="0" w:color="000000"/>
            </w:tcBorders>
            <w:vAlign w:val="center"/>
          </w:tcPr>
          <w:p>
            <w:pPr>
              <w:pStyle w:val="Normal"/>
              <w:snapToGrid w:val="false"/>
              <w:spacing w:lineRule="exact" w:line="300"/>
              <w:jc w:val="center"/>
              <w:rPr>
                <w:sz w:val="24"/>
                <w:szCs w:val="24"/>
              </w:rPr>
            </w:pPr>
            <w:r>
              <w:rPr>
                <w:sz w:val="24"/>
                <w:szCs w:val="24"/>
              </w:rPr>
            </w:r>
          </w:p>
        </w:tc>
        <w:tc>
          <w:tcPr>
            <w:tcW w:w="1862" w:type="dxa"/>
            <w:tcBorders>
              <w:top w:val="double" w:sz="4" w:space="0" w:color="000000"/>
              <w:left w:val="single" w:sz="4" w:space="0" w:color="000000"/>
              <w:bottom w:val="single" w:sz="4" w:space="0" w:color="000000"/>
              <w:right w:val="single" w:sz="4" w:space="0" w:color="000000"/>
            </w:tcBorders>
            <w:vAlign w:val="center"/>
          </w:tcPr>
          <w:p>
            <w:pPr>
              <w:pStyle w:val="Normal"/>
              <w:spacing w:lineRule="exact" w:line="300"/>
              <w:ind w:left="-57" w:right="-57" w:hanging="0"/>
              <w:jc w:val="center"/>
              <w:rPr>
                <w:sz w:val="24"/>
                <w:szCs w:val="24"/>
              </w:rPr>
            </w:pPr>
            <w:r>
              <w:rPr>
                <w:sz w:val="24"/>
                <w:szCs w:val="24"/>
              </w:rPr>
              <w:t>2020</w:t>
            </w:r>
          </w:p>
        </w:tc>
        <w:tc>
          <w:tcPr>
            <w:tcW w:w="1862" w:type="dxa"/>
            <w:tcBorders>
              <w:top w:val="double" w:sz="4" w:space="0" w:color="000000"/>
              <w:left w:val="single" w:sz="4" w:space="0" w:color="000000"/>
              <w:bottom w:val="single" w:sz="4" w:space="0" w:color="000000"/>
              <w:right w:val="single" w:sz="4" w:space="0" w:color="000000"/>
            </w:tcBorders>
            <w:vAlign w:val="center"/>
          </w:tcPr>
          <w:p>
            <w:pPr>
              <w:pStyle w:val="Normal"/>
              <w:spacing w:lineRule="exact" w:line="300"/>
              <w:ind w:left="-57" w:right="-57" w:hanging="0"/>
              <w:jc w:val="center"/>
              <w:rPr>
                <w:sz w:val="24"/>
                <w:szCs w:val="24"/>
              </w:rPr>
            </w:pPr>
            <w:r>
              <w:rPr>
                <w:sz w:val="24"/>
                <w:szCs w:val="24"/>
              </w:rPr>
              <w:t>2021</w:t>
            </w:r>
          </w:p>
        </w:tc>
        <w:tc>
          <w:tcPr>
            <w:tcW w:w="1862" w:type="dxa"/>
            <w:tcBorders>
              <w:top w:val="double" w:sz="4" w:space="0" w:color="000000"/>
              <w:left w:val="single" w:sz="4" w:space="0" w:color="000000"/>
              <w:bottom w:val="single" w:sz="4" w:space="0" w:color="000000"/>
              <w:right w:val="double" w:sz="4" w:space="0" w:color="000000"/>
            </w:tcBorders>
            <w:vAlign w:val="center"/>
          </w:tcPr>
          <w:p>
            <w:pPr>
              <w:pStyle w:val="Normal"/>
              <w:spacing w:lineRule="exact" w:line="300"/>
              <w:ind w:left="-57" w:right="-57" w:hanging="0"/>
              <w:jc w:val="center"/>
              <w:rPr>
                <w:sz w:val="24"/>
                <w:szCs w:val="24"/>
              </w:rPr>
            </w:pPr>
            <w:r>
              <w:rPr>
                <w:sz w:val="24"/>
                <w:szCs w:val="24"/>
              </w:rPr>
              <w:t>2022</w:t>
            </w:r>
          </w:p>
        </w:tc>
      </w:tr>
      <w:tr>
        <w:trPr>
          <w:trHeight w:val="246" w:hRule="atLeast"/>
        </w:trPr>
        <w:tc>
          <w:tcPr>
            <w:tcW w:w="3349" w:type="dxa"/>
            <w:tcBorders>
              <w:top w:val="single" w:sz="4" w:space="0" w:color="000000"/>
              <w:left w:val="double" w:sz="4" w:space="0" w:color="000000"/>
              <w:bottom w:val="dotted" w:sz="4" w:space="0" w:color="000000"/>
              <w:right w:val="dotted" w:sz="4" w:space="0" w:color="000000"/>
            </w:tcBorders>
            <w:vAlign w:val="center"/>
          </w:tcPr>
          <w:p>
            <w:pPr>
              <w:pStyle w:val="Normal"/>
              <w:snapToGrid w:val="false"/>
              <w:spacing w:lineRule="exact" w:line="300"/>
              <w:rPr>
                <w:sz w:val="24"/>
                <w:szCs w:val="24"/>
              </w:rPr>
            </w:pPr>
            <w:r>
              <w:rPr>
                <w:sz w:val="24"/>
                <w:szCs w:val="24"/>
              </w:rPr>
            </w:r>
          </w:p>
        </w:tc>
        <w:tc>
          <w:tcPr>
            <w:tcW w:w="1862" w:type="dxa"/>
            <w:tcBorders>
              <w:top w:val="single"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napToGrid w:val="false"/>
              <w:spacing w:lineRule="exact" w:line="300"/>
              <w:ind w:left="-57" w:right="-57" w:hanging="0"/>
              <w:rPr>
                <w:sz w:val="24"/>
                <w:szCs w:val="24"/>
              </w:rPr>
            </w:pPr>
            <w:r>
              <w:rPr>
                <w:sz w:val="24"/>
                <w:szCs w:val="24"/>
              </w:rPr>
            </w:r>
          </w:p>
        </w:tc>
        <w:tc>
          <w:tcPr>
            <w:tcW w:w="1862" w:type="dxa"/>
            <w:tcBorders>
              <w:top w:val="single"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napToGrid w:val="false"/>
              <w:spacing w:lineRule="exact" w:line="300"/>
              <w:ind w:left="-57" w:right="-57" w:hanging="0"/>
              <w:rPr>
                <w:sz w:val="24"/>
                <w:szCs w:val="24"/>
              </w:rPr>
            </w:pPr>
            <w:r>
              <w:rPr>
                <w:sz w:val="24"/>
                <w:szCs w:val="24"/>
              </w:rPr>
            </w:r>
          </w:p>
        </w:tc>
        <w:tc>
          <w:tcPr>
            <w:tcW w:w="1862" w:type="dxa"/>
            <w:tcBorders>
              <w:top w:val="single" w:sz="4" w:space="0" w:color="000000"/>
              <w:left w:val="dotted" w:sz="4" w:space="0" w:color="000000"/>
              <w:bottom w:val="dotted" w:sz="4" w:space="0" w:color="000000"/>
              <w:right w:val="double" w:sz="4" w:space="0" w:color="000000"/>
            </w:tcBorders>
            <w:vAlign w:val="center"/>
          </w:tcPr>
          <w:p>
            <w:pPr>
              <w:pStyle w:val="Normal"/>
              <w:tabs>
                <w:tab w:val="clear" w:pos="708"/>
                <w:tab w:val="decimal" w:pos="852" w:leader="none"/>
              </w:tabs>
              <w:snapToGrid w:val="false"/>
              <w:spacing w:lineRule="exact" w:line="300"/>
              <w:ind w:left="-57" w:right="-57" w:hanging="0"/>
              <w:rPr>
                <w:sz w:val="24"/>
                <w:szCs w:val="24"/>
              </w:rPr>
            </w:pPr>
            <w:r>
              <w:rPr>
                <w:sz w:val="24"/>
                <w:szCs w:val="24"/>
              </w:rPr>
            </w:r>
          </w:p>
        </w:tc>
      </w:tr>
      <w:tr>
        <w:trPr>
          <w:trHeight w:val="231" w:hRule="atLeast"/>
        </w:trPr>
        <w:tc>
          <w:tcPr>
            <w:tcW w:w="3349"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300"/>
              <w:ind w:left="57" w:hanging="0"/>
              <w:rPr>
                <w:sz w:val="24"/>
                <w:szCs w:val="24"/>
              </w:rPr>
            </w:pPr>
            <w:r>
              <w:rPr>
                <w:sz w:val="24"/>
                <w:szCs w:val="24"/>
              </w:rPr>
              <w:t xml:space="preserve">Кемеровская область – </w:t>
            </w:r>
          </w:p>
          <w:p>
            <w:pPr>
              <w:pStyle w:val="Normal"/>
              <w:spacing w:lineRule="exact" w:line="300"/>
              <w:ind w:left="57" w:hanging="0"/>
              <w:rPr>
                <w:sz w:val="24"/>
                <w:szCs w:val="24"/>
              </w:rPr>
            </w:pPr>
            <w:r>
              <w:rPr>
                <w:sz w:val="24"/>
                <w:szCs w:val="24"/>
              </w:rPr>
              <w:t>Кузбасс</w:t>
            </w:r>
          </w:p>
        </w:tc>
        <w:tc>
          <w:tcPr>
            <w:tcW w:w="1862"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pacing w:lineRule="exact" w:line="300"/>
              <w:ind w:left="-57" w:right="-57" w:hanging="0"/>
              <w:rPr>
                <w:sz w:val="24"/>
                <w:szCs w:val="24"/>
              </w:rPr>
            </w:pPr>
            <w:r>
              <w:rPr>
                <w:sz w:val="24"/>
                <w:szCs w:val="24"/>
              </w:rPr>
              <w:t>11643</w:t>
            </w:r>
          </w:p>
        </w:tc>
        <w:tc>
          <w:tcPr>
            <w:tcW w:w="1862"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pacing w:lineRule="exact" w:line="300"/>
              <w:ind w:left="-57" w:right="-57" w:hanging="0"/>
              <w:rPr>
                <w:sz w:val="24"/>
                <w:szCs w:val="24"/>
              </w:rPr>
            </w:pPr>
            <w:r>
              <w:rPr>
                <w:sz w:val="24"/>
                <w:szCs w:val="24"/>
              </w:rPr>
              <w:t>11290</w:t>
            </w:r>
          </w:p>
        </w:tc>
        <w:tc>
          <w:tcPr>
            <w:tcW w:w="1862" w:type="dxa"/>
            <w:tcBorders>
              <w:top w:val="dotted" w:sz="4" w:space="0" w:color="000000"/>
              <w:left w:val="dotted" w:sz="4" w:space="0" w:color="000000"/>
              <w:bottom w:val="dotted" w:sz="4" w:space="0" w:color="000000"/>
              <w:right w:val="double" w:sz="4" w:space="0" w:color="000000"/>
            </w:tcBorders>
            <w:vAlign w:val="center"/>
          </w:tcPr>
          <w:p>
            <w:pPr>
              <w:pStyle w:val="Normal"/>
              <w:tabs>
                <w:tab w:val="clear" w:pos="708"/>
                <w:tab w:val="decimal" w:pos="852" w:leader="none"/>
              </w:tabs>
              <w:spacing w:lineRule="exact" w:line="300"/>
              <w:ind w:left="-57" w:right="-57" w:hanging="0"/>
              <w:rPr>
                <w:sz w:val="24"/>
                <w:szCs w:val="24"/>
              </w:rPr>
            </w:pPr>
            <w:r>
              <w:rPr>
                <w:sz w:val="24"/>
                <w:szCs w:val="24"/>
              </w:rPr>
              <w:t>11149</w:t>
            </w:r>
          </w:p>
        </w:tc>
      </w:tr>
      <w:tr>
        <w:trPr>
          <w:trHeight w:val="231" w:hRule="atLeast"/>
        </w:trPr>
        <w:tc>
          <w:tcPr>
            <w:tcW w:w="3349"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300"/>
              <w:ind w:left="57" w:hanging="0"/>
              <w:rPr>
                <w:sz w:val="24"/>
                <w:szCs w:val="24"/>
              </w:rPr>
            </w:pPr>
            <w:r>
              <w:rPr>
                <w:sz w:val="24"/>
                <w:szCs w:val="24"/>
              </w:rPr>
              <w:t>Топкинский муниципальный округ</w:t>
            </w:r>
          </w:p>
        </w:tc>
        <w:tc>
          <w:tcPr>
            <w:tcW w:w="1862"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852" w:leader="none"/>
              </w:tabs>
              <w:spacing w:lineRule="exact" w:line="300"/>
              <w:ind w:left="-57" w:right="-57" w:hanging="0"/>
              <w:rPr>
                <w:sz w:val="24"/>
                <w:szCs w:val="24"/>
              </w:rPr>
            </w:pPr>
            <w:r>
              <w:rPr>
                <w:sz w:val="24"/>
                <w:szCs w:val="24"/>
              </w:rPr>
              <w:t>100</w:t>
            </w:r>
          </w:p>
        </w:tc>
        <w:tc>
          <w:tcPr>
            <w:tcW w:w="1862"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852" w:leader="none"/>
              </w:tabs>
              <w:spacing w:lineRule="exact" w:line="300"/>
              <w:ind w:left="-57" w:right="-57" w:hanging="0"/>
              <w:rPr>
                <w:sz w:val="24"/>
                <w:szCs w:val="24"/>
              </w:rPr>
            </w:pPr>
            <w:r>
              <w:rPr>
                <w:sz w:val="24"/>
                <w:szCs w:val="24"/>
              </w:rPr>
              <w:t>93</w:t>
            </w:r>
          </w:p>
        </w:tc>
        <w:tc>
          <w:tcPr>
            <w:tcW w:w="1862" w:type="dxa"/>
            <w:tcBorders>
              <w:top w:val="dotted" w:sz="4" w:space="0" w:color="000000"/>
              <w:left w:val="dotted" w:sz="4" w:space="0" w:color="000000"/>
              <w:bottom w:val="dotted" w:sz="4" w:space="0" w:color="000000"/>
              <w:right w:val="double" w:sz="4" w:space="0" w:color="000000"/>
            </w:tcBorders>
            <w:vAlign w:val="bottom"/>
          </w:tcPr>
          <w:p>
            <w:pPr>
              <w:pStyle w:val="Normal"/>
              <w:tabs>
                <w:tab w:val="clear" w:pos="708"/>
                <w:tab w:val="decimal" w:pos="852" w:leader="none"/>
              </w:tabs>
              <w:spacing w:lineRule="exact" w:line="300"/>
              <w:ind w:left="-57" w:right="-57" w:hanging="0"/>
              <w:rPr>
                <w:sz w:val="24"/>
                <w:szCs w:val="24"/>
              </w:rPr>
            </w:pPr>
            <w:r>
              <w:rPr>
                <w:sz w:val="24"/>
                <w:szCs w:val="24"/>
              </w:rPr>
              <w:t>91</w:t>
            </w:r>
          </w:p>
        </w:tc>
      </w:tr>
    </w:tbl>
    <w:p>
      <w:pPr>
        <w:pStyle w:val="Normal"/>
        <w:ind w:firstLine="709"/>
        <w:jc w:val="both"/>
        <w:rPr>
          <w:i/>
          <w:i/>
          <w:iCs/>
          <w:sz w:val="28"/>
          <w:szCs w:val="28"/>
        </w:rPr>
      </w:pPr>
      <w:r>
        <w:rPr>
          <w:i/>
          <w:iCs/>
          <w:sz w:val="28"/>
          <w:szCs w:val="28"/>
        </w:rPr>
      </w:r>
    </w:p>
    <w:p>
      <w:pPr>
        <w:pStyle w:val="Normal"/>
        <w:ind w:firstLine="709"/>
        <w:rPr>
          <w:i/>
          <w:i/>
          <w:iCs/>
          <w:sz w:val="28"/>
          <w:szCs w:val="28"/>
        </w:rPr>
      </w:pPr>
      <w:r>
        <w:rPr>
          <w:i/>
          <w:iCs/>
          <w:sz w:val="28"/>
          <w:szCs w:val="28"/>
        </w:rPr>
        <w:t>Таблица 29. Численность среднего медицинского персонала</w:t>
      </w:r>
    </w:p>
    <w:tbl>
      <w:tblPr>
        <w:tblW w:w="8935" w:type="dxa"/>
        <w:jc w:val="center"/>
        <w:tblInd w:w="0" w:type="dxa"/>
        <w:tblLayout w:type="fixed"/>
        <w:tblCellMar>
          <w:top w:w="0" w:type="dxa"/>
          <w:left w:w="28" w:type="dxa"/>
          <w:bottom w:w="0" w:type="dxa"/>
          <w:right w:w="28" w:type="dxa"/>
        </w:tblCellMar>
      </w:tblPr>
      <w:tblGrid>
        <w:gridCol w:w="3349"/>
        <w:gridCol w:w="1862"/>
        <w:gridCol w:w="1862"/>
        <w:gridCol w:w="1862"/>
      </w:tblGrid>
      <w:tr>
        <w:trPr>
          <w:trHeight w:val="251" w:hRule="atLeast"/>
        </w:trPr>
        <w:tc>
          <w:tcPr>
            <w:tcW w:w="3349" w:type="dxa"/>
            <w:tcBorders>
              <w:top w:val="double" w:sz="4" w:space="0" w:color="000000"/>
              <w:left w:val="double" w:sz="4" w:space="0" w:color="000000"/>
              <w:bottom w:val="single" w:sz="4" w:space="0" w:color="000000"/>
              <w:right w:val="single" w:sz="4" w:space="0" w:color="000000"/>
            </w:tcBorders>
            <w:vAlign w:val="center"/>
          </w:tcPr>
          <w:p>
            <w:pPr>
              <w:pStyle w:val="Normal"/>
              <w:snapToGrid w:val="false"/>
              <w:spacing w:lineRule="exact" w:line="300"/>
              <w:jc w:val="center"/>
              <w:rPr>
                <w:sz w:val="24"/>
                <w:szCs w:val="24"/>
              </w:rPr>
            </w:pPr>
            <w:r>
              <w:rPr>
                <w:sz w:val="24"/>
                <w:szCs w:val="24"/>
              </w:rPr>
            </w:r>
          </w:p>
        </w:tc>
        <w:tc>
          <w:tcPr>
            <w:tcW w:w="1862" w:type="dxa"/>
            <w:tcBorders>
              <w:top w:val="double" w:sz="4" w:space="0" w:color="000000"/>
              <w:left w:val="single" w:sz="4" w:space="0" w:color="000000"/>
              <w:bottom w:val="single" w:sz="4" w:space="0" w:color="000000"/>
              <w:right w:val="single" w:sz="4" w:space="0" w:color="000000"/>
            </w:tcBorders>
            <w:vAlign w:val="center"/>
          </w:tcPr>
          <w:p>
            <w:pPr>
              <w:pStyle w:val="Normal"/>
              <w:spacing w:lineRule="exact" w:line="300"/>
              <w:ind w:left="-57" w:right="-57" w:hanging="0"/>
              <w:jc w:val="center"/>
              <w:rPr>
                <w:sz w:val="24"/>
                <w:szCs w:val="24"/>
              </w:rPr>
            </w:pPr>
            <w:r>
              <w:rPr>
                <w:sz w:val="24"/>
                <w:szCs w:val="24"/>
              </w:rPr>
              <w:t>2020</w:t>
            </w:r>
          </w:p>
        </w:tc>
        <w:tc>
          <w:tcPr>
            <w:tcW w:w="1862" w:type="dxa"/>
            <w:tcBorders>
              <w:top w:val="double" w:sz="4" w:space="0" w:color="000000"/>
              <w:left w:val="single" w:sz="4" w:space="0" w:color="000000"/>
              <w:bottom w:val="single" w:sz="4" w:space="0" w:color="000000"/>
              <w:right w:val="single" w:sz="4" w:space="0" w:color="000000"/>
            </w:tcBorders>
            <w:vAlign w:val="center"/>
          </w:tcPr>
          <w:p>
            <w:pPr>
              <w:pStyle w:val="Normal"/>
              <w:spacing w:lineRule="exact" w:line="300"/>
              <w:ind w:left="-57" w:right="-57" w:hanging="0"/>
              <w:jc w:val="center"/>
              <w:rPr>
                <w:sz w:val="24"/>
                <w:szCs w:val="24"/>
              </w:rPr>
            </w:pPr>
            <w:r>
              <w:rPr>
                <w:sz w:val="24"/>
                <w:szCs w:val="24"/>
              </w:rPr>
              <w:t>2021</w:t>
            </w:r>
          </w:p>
        </w:tc>
        <w:tc>
          <w:tcPr>
            <w:tcW w:w="1862" w:type="dxa"/>
            <w:tcBorders>
              <w:top w:val="double" w:sz="4" w:space="0" w:color="000000"/>
              <w:left w:val="single" w:sz="4" w:space="0" w:color="000000"/>
              <w:bottom w:val="single" w:sz="4" w:space="0" w:color="000000"/>
              <w:right w:val="double" w:sz="4" w:space="0" w:color="000000"/>
            </w:tcBorders>
            <w:vAlign w:val="center"/>
          </w:tcPr>
          <w:p>
            <w:pPr>
              <w:pStyle w:val="Normal"/>
              <w:spacing w:lineRule="exact" w:line="300"/>
              <w:ind w:left="-57" w:right="-57" w:hanging="0"/>
              <w:jc w:val="center"/>
              <w:rPr>
                <w:sz w:val="24"/>
                <w:szCs w:val="24"/>
              </w:rPr>
            </w:pPr>
            <w:r>
              <w:rPr>
                <w:sz w:val="24"/>
                <w:szCs w:val="24"/>
              </w:rPr>
              <w:t>2022</w:t>
            </w:r>
          </w:p>
        </w:tc>
      </w:tr>
      <w:tr>
        <w:trPr>
          <w:trHeight w:val="246" w:hRule="atLeast"/>
        </w:trPr>
        <w:tc>
          <w:tcPr>
            <w:tcW w:w="3349" w:type="dxa"/>
            <w:tcBorders>
              <w:top w:val="single" w:sz="4" w:space="0" w:color="000000"/>
              <w:left w:val="double" w:sz="4" w:space="0" w:color="000000"/>
              <w:bottom w:val="dotted" w:sz="4" w:space="0" w:color="000000"/>
              <w:right w:val="dotted" w:sz="4" w:space="0" w:color="000000"/>
            </w:tcBorders>
            <w:vAlign w:val="center"/>
          </w:tcPr>
          <w:p>
            <w:pPr>
              <w:pStyle w:val="Normal"/>
              <w:snapToGrid w:val="false"/>
              <w:spacing w:lineRule="exact" w:line="300"/>
              <w:rPr>
                <w:sz w:val="24"/>
                <w:szCs w:val="24"/>
              </w:rPr>
            </w:pPr>
            <w:r>
              <w:rPr>
                <w:sz w:val="24"/>
                <w:szCs w:val="24"/>
              </w:rPr>
            </w:r>
          </w:p>
        </w:tc>
        <w:tc>
          <w:tcPr>
            <w:tcW w:w="1862" w:type="dxa"/>
            <w:tcBorders>
              <w:top w:val="single"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napToGrid w:val="false"/>
              <w:spacing w:lineRule="exact" w:line="300"/>
              <w:ind w:left="-57" w:right="-57" w:hanging="0"/>
              <w:rPr>
                <w:sz w:val="24"/>
                <w:szCs w:val="24"/>
              </w:rPr>
            </w:pPr>
            <w:r>
              <w:rPr>
                <w:sz w:val="24"/>
                <w:szCs w:val="24"/>
              </w:rPr>
            </w:r>
          </w:p>
        </w:tc>
        <w:tc>
          <w:tcPr>
            <w:tcW w:w="1862" w:type="dxa"/>
            <w:tcBorders>
              <w:top w:val="single"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napToGrid w:val="false"/>
              <w:spacing w:lineRule="exact" w:line="300"/>
              <w:ind w:left="-57" w:right="-57" w:hanging="0"/>
              <w:rPr>
                <w:sz w:val="24"/>
                <w:szCs w:val="24"/>
              </w:rPr>
            </w:pPr>
            <w:r>
              <w:rPr>
                <w:sz w:val="24"/>
                <w:szCs w:val="24"/>
              </w:rPr>
            </w:r>
          </w:p>
        </w:tc>
        <w:tc>
          <w:tcPr>
            <w:tcW w:w="1862" w:type="dxa"/>
            <w:tcBorders>
              <w:top w:val="single" w:sz="4" w:space="0" w:color="000000"/>
              <w:left w:val="dotted" w:sz="4" w:space="0" w:color="000000"/>
              <w:bottom w:val="dotted" w:sz="4" w:space="0" w:color="000000"/>
              <w:right w:val="double" w:sz="4" w:space="0" w:color="000000"/>
            </w:tcBorders>
            <w:vAlign w:val="center"/>
          </w:tcPr>
          <w:p>
            <w:pPr>
              <w:pStyle w:val="Normal"/>
              <w:tabs>
                <w:tab w:val="clear" w:pos="708"/>
                <w:tab w:val="decimal" w:pos="852" w:leader="none"/>
              </w:tabs>
              <w:snapToGrid w:val="false"/>
              <w:spacing w:lineRule="exact" w:line="300"/>
              <w:ind w:left="-57" w:right="-57" w:hanging="0"/>
              <w:rPr>
                <w:sz w:val="24"/>
                <w:szCs w:val="24"/>
              </w:rPr>
            </w:pPr>
            <w:r>
              <w:rPr>
                <w:sz w:val="24"/>
                <w:szCs w:val="24"/>
              </w:rPr>
            </w:r>
          </w:p>
        </w:tc>
      </w:tr>
      <w:tr>
        <w:trPr>
          <w:trHeight w:val="231" w:hRule="atLeast"/>
        </w:trPr>
        <w:tc>
          <w:tcPr>
            <w:tcW w:w="3349"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300"/>
              <w:ind w:left="57" w:hanging="0"/>
              <w:rPr>
                <w:sz w:val="24"/>
                <w:szCs w:val="24"/>
              </w:rPr>
            </w:pPr>
            <w:r>
              <w:rPr>
                <w:sz w:val="24"/>
                <w:szCs w:val="24"/>
              </w:rPr>
              <w:t xml:space="preserve">Кемеровская область – </w:t>
            </w:r>
          </w:p>
          <w:p>
            <w:pPr>
              <w:pStyle w:val="Normal"/>
              <w:spacing w:lineRule="exact" w:line="300"/>
              <w:ind w:left="57" w:hanging="0"/>
              <w:rPr>
                <w:sz w:val="24"/>
                <w:szCs w:val="24"/>
              </w:rPr>
            </w:pPr>
            <w:r>
              <w:rPr>
                <w:sz w:val="24"/>
                <w:szCs w:val="24"/>
              </w:rPr>
              <w:t>Кузбасс</w:t>
            </w:r>
          </w:p>
        </w:tc>
        <w:tc>
          <w:tcPr>
            <w:tcW w:w="1862"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pacing w:lineRule="exact" w:line="300"/>
              <w:ind w:left="113" w:right="57" w:hanging="0"/>
              <w:jc w:val="center"/>
              <w:rPr>
                <w:sz w:val="24"/>
                <w:szCs w:val="24"/>
              </w:rPr>
            </w:pPr>
            <w:r>
              <w:rPr>
                <w:sz w:val="24"/>
                <w:szCs w:val="24"/>
              </w:rPr>
              <w:t>27005</w:t>
            </w:r>
          </w:p>
        </w:tc>
        <w:tc>
          <w:tcPr>
            <w:tcW w:w="1862"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pacing w:lineRule="exact" w:line="300"/>
              <w:ind w:left="113" w:right="57" w:hanging="0"/>
              <w:jc w:val="center"/>
              <w:rPr>
                <w:sz w:val="24"/>
                <w:szCs w:val="24"/>
              </w:rPr>
            </w:pPr>
            <w:r>
              <w:rPr>
                <w:sz w:val="24"/>
                <w:szCs w:val="24"/>
              </w:rPr>
              <w:t>25902</w:t>
            </w:r>
          </w:p>
        </w:tc>
        <w:tc>
          <w:tcPr>
            <w:tcW w:w="1862" w:type="dxa"/>
            <w:tcBorders>
              <w:top w:val="dotted" w:sz="4" w:space="0" w:color="000000"/>
              <w:left w:val="dotted" w:sz="4" w:space="0" w:color="000000"/>
              <w:bottom w:val="dotted" w:sz="4" w:space="0" w:color="000000"/>
              <w:right w:val="double" w:sz="4" w:space="0" w:color="000000"/>
            </w:tcBorders>
            <w:vAlign w:val="center"/>
          </w:tcPr>
          <w:p>
            <w:pPr>
              <w:pStyle w:val="Normal"/>
              <w:tabs>
                <w:tab w:val="clear" w:pos="708"/>
                <w:tab w:val="decimal" w:pos="852" w:leader="none"/>
              </w:tabs>
              <w:spacing w:lineRule="exact" w:line="300"/>
              <w:ind w:left="113" w:right="57" w:hanging="0"/>
              <w:jc w:val="center"/>
              <w:rPr>
                <w:sz w:val="24"/>
                <w:szCs w:val="24"/>
              </w:rPr>
            </w:pPr>
            <w:r>
              <w:rPr>
                <w:sz w:val="24"/>
                <w:szCs w:val="24"/>
              </w:rPr>
              <w:t>25024</w:t>
            </w:r>
          </w:p>
        </w:tc>
      </w:tr>
      <w:tr>
        <w:trPr>
          <w:trHeight w:val="231" w:hRule="atLeast"/>
        </w:trPr>
        <w:tc>
          <w:tcPr>
            <w:tcW w:w="3349"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300"/>
              <w:ind w:left="57" w:hanging="0"/>
              <w:rPr>
                <w:sz w:val="24"/>
                <w:szCs w:val="24"/>
              </w:rPr>
            </w:pPr>
            <w:r>
              <w:rPr>
                <w:sz w:val="24"/>
                <w:szCs w:val="24"/>
              </w:rPr>
              <w:t>Топкинский муниципальный округ</w:t>
            </w:r>
          </w:p>
        </w:tc>
        <w:tc>
          <w:tcPr>
            <w:tcW w:w="1862"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pacing w:lineRule="exact" w:line="300"/>
              <w:jc w:val="center"/>
              <w:rPr>
                <w:sz w:val="24"/>
                <w:szCs w:val="24"/>
              </w:rPr>
            </w:pPr>
            <w:r>
              <w:rPr>
                <w:sz w:val="24"/>
                <w:szCs w:val="24"/>
              </w:rPr>
              <w:t>243</w:t>
            </w:r>
          </w:p>
        </w:tc>
        <w:tc>
          <w:tcPr>
            <w:tcW w:w="1862"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pacing w:lineRule="exact" w:line="300"/>
              <w:jc w:val="center"/>
              <w:rPr>
                <w:sz w:val="24"/>
                <w:szCs w:val="24"/>
              </w:rPr>
            </w:pPr>
            <w:r>
              <w:rPr>
                <w:sz w:val="24"/>
                <w:szCs w:val="24"/>
              </w:rPr>
              <w:t>219</w:t>
            </w:r>
          </w:p>
        </w:tc>
        <w:tc>
          <w:tcPr>
            <w:tcW w:w="1862" w:type="dxa"/>
            <w:tcBorders>
              <w:top w:val="dotted" w:sz="4" w:space="0" w:color="000000"/>
              <w:left w:val="dotted" w:sz="4" w:space="0" w:color="000000"/>
              <w:bottom w:val="dotted" w:sz="4" w:space="0" w:color="000000"/>
              <w:right w:val="double" w:sz="4" w:space="0" w:color="000000"/>
            </w:tcBorders>
            <w:vAlign w:val="center"/>
          </w:tcPr>
          <w:p>
            <w:pPr>
              <w:pStyle w:val="Normal"/>
              <w:tabs>
                <w:tab w:val="clear" w:pos="708"/>
                <w:tab w:val="decimal" w:pos="852" w:leader="none"/>
              </w:tabs>
              <w:spacing w:lineRule="exact" w:line="300"/>
              <w:jc w:val="center"/>
              <w:rPr>
                <w:sz w:val="24"/>
                <w:szCs w:val="24"/>
              </w:rPr>
            </w:pPr>
            <w:r>
              <w:rPr>
                <w:sz w:val="24"/>
                <w:szCs w:val="24"/>
              </w:rPr>
              <w:t>216</w:t>
            </w:r>
          </w:p>
        </w:tc>
      </w:tr>
    </w:tbl>
    <w:p>
      <w:pPr>
        <w:pStyle w:val="Normal"/>
        <w:ind w:firstLine="709"/>
        <w:jc w:val="both"/>
        <w:rPr>
          <w:i/>
          <w:i/>
          <w:iCs/>
          <w:sz w:val="28"/>
          <w:szCs w:val="28"/>
        </w:rPr>
      </w:pPr>
      <w:r>
        <w:rPr>
          <w:i/>
          <w:iCs/>
          <w:sz w:val="28"/>
          <w:szCs w:val="28"/>
        </w:rPr>
      </w:r>
    </w:p>
    <w:p>
      <w:pPr>
        <w:pStyle w:val="Normal"/>
        <w:ind w:firstLine="709"/>
        <w:rPr>
          <w:i/>
          <w:i/>
          <w:iCs/>
          <w:sz w:val="28"/>
          <w:szCs w:val="28"/>
        </w:rPr>
      </w:pPr>
      <w:r>
        <w:rPr>
          <w:i/>
          <w:iCs/>
          <w:sz w:val="28"/>
          <w:szCs w:val="28"/>
        </w:rPr>
        <w:t>Таблица 30. Число больничных коек</w:t>
      </w:r>
    </w:p>
    <w:tbl>
      <w:tblPr>
        <w:tblW w:w="8935" w:type="dxa"/>
        <w:jc w:val="center"/>
        <w:tblInd w:w="0" w:type="dxa"/>
        <w:tblLayout w:type="fixed"/>
        <w:tblCellMar>
          <w:top w:w="0" w:type="dxa"/>
          <w:left w:w="28" w:type="dxa"/>
          <w:bottom w:w="0" w:type="dxa"/>
          <w:right w:w="28" w:type="dxa"/>
        </w:tblCellMar>
      </w:tblPr>
      <w:tblGrid>
        <w:gridCol w:w="3349"/>
        <w:gridCol w:w="1862"/>
        <w:gridCol w:w="1862"/>
        <w:gridCol w:w="1862"/>
      </w:tblGrid>
      <w:tr>
        <w:trPr>
          <w:trHeight w:val="251" w:hRule="atLeast"/>
        </w:trPr>
        <w:tc>
          <w:tcPr>
            <w:tcW w:w="3349" w:type="dxa"/>
            <w:tcBorders>
              <w:top w:val="double" w:sz="4" w:space="0" w:color="000000"/>
              <w:left w:val="double" w:sz="4" w:space="0" w:color="000000"/>
              <w:bottom w:val="single" w:sz="4" w:space="0" w:color="000000"/>
              <w:right w:val="single" w:sz="4" w:space="0" w:color="000000"/>
            </w:tcBorders>
            <w:vAlign w:val="center"/>
          </w:tcPr>
          <w:p>
            <w:pPr>
              <w:pStyle w:val="Normal"/>
              <w:snapToGrid w:val="false"/>
              <w:spacing w:lineRule="exact" w:line="300"/>
              <w:jc w:val="center"/>
              <w:rPr>
                <w:sz w:val="24"/>
                <w:szCs w:val="24"/>
              </w:rPr>
            </w:pPr>
            <w:r>
              <w:rPr>
                <w:sz w:val="24"/>
                <w:szCs w:val="24"/>
              </w:rPr>
            </w:r>
          </w:p>
        </w:tc>
        <w:tc>
          <w:tcPr>
            <w:tcW w:w="1862" w:type="dxa"/>
            <w:tcBorders>
              <w:top w:val="double" w:sz="4" w:space="0" w:color="000000"/>
              <w:left w:val="single" w:sz="4" w:space="0" w:color="000000"/>
              <w:bottom w:val="single" w:sz="4" w:space="0" w:color="000000"/>
              <w:right w:val="single" w:sz="4" w:space="0" w:color="000000"/>
            </w:tcBorders>
            <w:vAlign w:val="center"/>
          </w:tcPr>
          <w:p>
            <w:pPr>
              <w:pStyle w:val="Normal"/>
              <w:spacing w:lineRule="exact" w:line="300"/>
              <w:ind w:left="-57" w:right="-57" w:hanging="0"/>
              <w:jc w:val="center"/>
              <w:rPr>
                <w:sz w:val="24"/>
                <w:szCs w:val="24"/>
              </w:rPr>
            </w:pPr>
            <w:r>
              <w:rPr>
                <w:sz w:val="24"/>
                <w:szCs w:val="24"/>
              </w:rPr>
              <w:t>2020</w:t>
            </w:r>
          </w:p>
        </w:tc>
        <w:tc>
          <w:tcPr>
            <w:tcW w:w="1862" w:type="dxa"/>
            <w:tcBorders>
              <w:top w:val="double" w:sz="4" w:space="0" w:color="000000"/>
              <w:left w:val="single" w:sz="4" w:space="0" w:color="000000"/>
              <w:bottom w:val="single" w:sz="4" w:space="0" w:color="000000"/>
              <w:right w:val="single" w:sz="4" w:space="0" w:color="000000"/>
            </w:tcBorders>
            <w:vAlign w:val="center"/>
          </w:tcPr>
          <w:p>
            <w:pPr>
              <w:pStyle w:val="Normal"/>
              <w:spacing w:lineRule="exact" w:line="300"/>
              <w:ind w:left="-57" w:right="-57" w:hanging="0"/>
              <w:jc w:val="center"/>
              <w:rPr>
                <w:sz w:val="24"/>
                <w:szCs w:val="24"/>
              </w:rPr>
            </w:pPr>
            <w:r>
              <w:rPr>
                <w:sz w:val="24"/>
                <w:szCs w:val="24"/>
              </w:rPr>
              <w:t>2021</w:t>
            </w:r>
          </w:p>
        </w:tc>
        <w:tc>
          <w:tcPr>
            <w:tcW w:w="1862" w:type="dxa"/>
            <w:tcBorders>
              <w:top w:val="double" w:sz="4" w:space="0" w:color="000000"/>
              <w:left w:val="single" w:sz="4" w:space="0" w:color="000000"/>
              <w:bottom w:val="single" w:sz="4" w:space="0" w:color="000000"/>
              <w:right w:val="double" w:sz="4" w:space="0" w:color="000000"/>
            </w:tcBorders>
            <w:vAlign w:val="center"/>
          </w:tcPr>
          <w:p>
            <w:pPr>
              <w:pStyle w:val="Normal"/>
              <w:spacing w:lineRule="exact" w:line="300"/>
              <w:ind w:left="-57" w:right="-57" w:hanging="0"/>
              <w:jc w:val="center"/>
              <w:rPr>
                <w:sz w:val="24"/>
                <w:szCs w:val="24"/>
              </w:rPr>
            </w:pPr>
            <w:r>
              <w:rPr>
                <w:sz w:val="24"/>
                <w:szCs w:val="24"/>
              </w:rPr>
              <w:t>2022</w:t>
            </w:r>
          </w:p>
        </w:tc>
      </w:tr>
      <w:tr>
        <w:trPr>
          <w:trHeight w:val="246" w:hRule="atLeast"/>
        </w:trPr>
        <w:tc>
          <w:tcPr>
            <w:tcW w:w="3349" w:type="dxa"/>
            <w:tcBorders>
              <w:top w:val="single" w:sz="4" w:space="0" w:color="000000"/>
              <w:left w:val="double" w:sz="4" w:space="0" w:color="000000"/>
              <w:bottom w:val="dotted" w:sz="4" w:space="0" w:color="000000"/>
              <w:right w:val="dotted" w:sz="4" w:space="0" w:color="000000"/>
            </w:tcBorders>
            <w:vAlign w:val="center"/>
          </w:tcPr>
          <w:p>
            <w:pPr>
              <w:pStyle w:val="Normal"/>
              <w:snapToGrid w:val="false"/>
              <w:spacing w:lineRule="exact" w:line="300"/>
              <w:rPr>
                <w:sz w:val="24"/>
                <w:szCs w:val="24"/>
              </w:rPr>
            </w:pPr>
            <w:r>
              <w:rPr>
                <w:sz w:val="24"/>
                <w:szCs w:val="24"/>
              </w:rPr>
            </w:r>
          </w:p>
        </w:tc>
        <w:tc>
          <w:tcPr>
            <w:tcW w:w="1862" w:type="dxa"/>
            <w:tcBorders>
              <w:top w:val="single"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napToGrid w:val="false"/>
              <w:spacing w:lineRule="exact" w:line="300"/>
              <w:ind w:left="-57" w:right="-57" w:hanging="0"/>
              <w:rPr>
                <w:sz w:val="24"/>
                <w:szCs w:val="24"/>
              </w:rPr>
            </w:pPr>
            <w:r>
              <w:rPr>
                <w:sz w:val="24"/>
                <w:szCs w:val="24"/>
              </w:rPr>
            </w:r>
          </w:p>
        </w:tc>
        <w:tc>
          <w:tcPr>
            <w:tcW w:w="1862" w:type="dxa"/>
            <w:tcBorders>
              <w:top w:val="single"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napToGrid w:val="false"/>
              <w:spacing w:lineRule="exact" w:line="300"/>
              <w:ind w:left="-57" w:right="-57" w:hanging="0"/>
              <w:rPr>
                <w:sz w:val="24"/>
                <w:szCs w:val="24"/>
              </w:rPr>
            </w:pPr>
            <w:r>
              <w:rPr>
                <w:sz w:val="24"/>
                <w:szCs w:val="24"/>
              </w:rPr>
            </w:r>
          </w:p>
        </w:tc>
        <w:tc>
          <w:tcPr>
            <w:tcW w:w="1862" w:type="dxa"/>
            <w:tcBorders>
              <w:top w:val="single" w:sz="4" w:space="0" w:color="000000"/>
              <w:left w:val="dotted" w:sz="4" w:space="0" w:color="000000"/>
              <w:bottom w:val="dotted" w:sz="4" w:space="0" w:color="000000"/>
              <w:right w:val="double" w:sz="4" w:space="0" w:color="000000"/>
            </w:tcBorders>
            <w:vAlign w:val="center"/>
          </w:tcPr>
          <w:p>
            <w:pPr>
              <w:pStyle w:val="Normal"/>
              <w:tabs>
                <w:tab w:val="clear" w:pos="708"/>
                <w:tab w:val="decimal" w:pos="852" w:leader="none"/>
              </w:tabs>
              <w:snapToGrid w:val="false"/>
              <w:spacing w:lineRule="exact" w:line="300"/>
              <w:ind w:left="-57" w:right="-57" w:hanging="0"/>
              <w:rPr>
                <w:sz w:val="24"/>
                <w:szCs w:val="24"/>
              </w:rPr>
            </w:pPr>
            <w:r>
              <w:rPr>
                <w:sz w:val="24"/>
                <w:szCs w:val="24"/>
              </w:rPr>
            </w:r>
          </w:p>
        </w:tc>
      </w:tr>
      <w:tr>
        <w:trPr>
          <w:trHeight w:val="231" w:hRule="atLeast"/>
        </w:trPr>
        <w:tc>
          <w:tcPr>
            <w:tcW w:w="3349"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300"/>
              <w:ind w:left="57" w:hanging="0"/>
              <w:rPr>
                <w:sz w:val="24"/>
                <w:szCs w:val="24"/>
              </w:rPr>
            </w:pPr>
            <w:r>
              <w:rPr>
                <w:sz w:val="24"/>
                <w:szCs w:val="24"/>
              </w:rPr>
              <w:t xml:space="preserve">Кемеровская область – </w:t>
            </w:r>
          </w:p>
          <w:p>
            <w:pPr>
              <w:pStyle w:val="Normal"/>
              <w:spacing w:lineRule="exact" w:line="300"/>
              <w:ind w:left="57" w:hanging="0"/>
              <w:rPr>
                <w:sz w:val="24"/>
                <w:szCs w:val="24"/>
              </w:rPr>
            </w:pPr>
            <w:r>
              <w:rPr>
                <w:sz w:val="24"/>
                <w:szCs w:val="24"/>
              </w:rPr>
              <w:t>Кузбасс</w:t>
            </w:r>
          </w:p>
        </w:tc>
        <w:tc>
          <w:tcPr>
            <w:tcW w:w="1862"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pacing w:lineRule="exact" w:line="300"/>
              <w:ind w:left="-57" w:right="-57" w:hanging="0"/>
              <w:rPr>
                <w:sz w:val="24"/>
                <w:szCs w:val="24"/>
              </w:rPr>
            </w:pPr>
            <w:r>
              <w:rPr>
                <w:sz w:val="24"/>
                <w:szCs w:val="24"/>
              </w:rPr>
              <w:t>24136</w:t>
            </w:r>
          </w:p>
        </w:tc>
        <w:tc>
          <w:tcPr>
            <w:tcW w:w="1862" w:type="dxa"/>
            <w:tcBorders>
              <w:top w:val="dotted" w:sz="4" w:space="0" w:color="000000"/>
              <w:left w:val="dotted" w:sz="4" w:space="0" w:color="000000"/>
              <w:bottom w:val="dotted" w:sz="4" w:space="0" w:color="000000"/>
              <w:right w:val="dotted" w:sz="4" w:space="0" w:color="000000"/>
            </w:tcBorders>
            <w:vAlign w:val="center"/>
          </w:tcPr>
          <w:p>
            <w:pPr>
              <w:pStyle w:val="Normal"/>
              <w:tabs>
                <w:tab w:val="clear" w:pos="708"/>
                <w:tab w:val="decimal" w:pos="852" w:leader="none"/>
              </w:tabs>
              <w:spacing w:lineRule="exact" w:line="300"/>
              <w:ind w:left="-57" w:right="-57" w:hanging="0"/>
              <w:rPr>
                <w:sz w:val="24"/>
                <w:szCs w:val="24"/>
              </w:rPr>
            </w:pPr>
            <w:r>
              <w:rPr>
                <w:sz w:val="24"/>
                <w:szCs w:val="24"/>
              </w:rPr>
              <w:t>24397</w:t>
            </w:r>
          </w:p>
        </w:tc>
        <w:tc>
          <w:tcPr>
            <w:tcW w:w="1862" w:type="dxa"/>
            <w:tcBorders>
              <w:top w:val="dotted" w:sz="4" w:space="0" w:color="000000"/>
              <w:left w:val="dotted" w:sz="4" w:space="0" w:color="000000"/>
              <w:bottom w:val="dotted" w:sz="4" w:space="0" w:color="000000"/>
              <w:right w:val="double" w:sz="4" w:space="0" w:color="000000"/>
            </w:tcBorders>
            <w:vAlign w:val="center"/>
          </w:tcPr>
          <w:p>
            <w:pPr>
              <w:pStyle w:val="Normal"/>
              <w:tabs>
                <w:tab w:val="clear" w:pos="708"/>
                <w:tab w:val="decimal" w:pos="852" w:leader="none"/>
              </w:tabs>
              <w:spacing w:lineRule="exact" w:line="300"/>
              <w:ind w:left="-57" w:right="-57" w:hanging="0"/>
              <w:rPr>
                <w:sz w:val="24"/>
                <w:szCs w:val="24"/>
              </w:rPr>
            </w:pPr>
            <w:r>
              <w:rPr>
                <w:sz w:val="24"/>
                <w:szCs w:val="24"/>
              </w:rPr>
              <w:t>23884</w:t>
            </w:r>
          </w:p>
        </w:tc>
      </w:tr>
      <w:tr>
        <w:trPr>
          <w:trHeight w:val="231" w:hRule="atLeast"/>
        </w:trPr>
        <w:tc>
          <w:tcPr>
            <w:tcW w:w="3349" w:type="dxa"/>
            <w:tcBorders>
              <w:top w:val="dotted" w:sz="4" w:space="0" w:color="000000"/>
              <w:left w:val="double" w:sz="4" w:space="0" w:color="000000"/>
              <w:bottom w:val="dotted" w:sz="4" w:space="0" w:color="000000"/>
              <w:right w:val="dotted" w:sz="4" w:space="0" w:color="000000"/>
            </w:tcBorders>
            <w:vAlign w:val="center"/>
          </w:tcPr>
          <w:p>
            <w:pPr>
              <w:pStyle w:val="Normal"/>
              <w:spacing w:lineRule="exact" w:line="300"/>
              <w:ind w:left="57" w:hanging="0"/>
              <w:rPr>
                <w:sz w:val="24"/>
                <w:szCs w:val="24"/>
              </w:rPr>
            </w:pPr>
            <w:r>
              <w:rPr>
                <w:sz w:val="24"/>
                <w:szCs w:val="24"/>
              </w:rPr>
              <w:t>Топкинский муниципальный округ</w:t>
            </w:r>
          </w:p>
        </w:tc>
        <w:tc>
          <w:tcPr>
            <w:tcW w:w="1862"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852" w:leader="none"/>
              </w:tabs>
              <w:spacing w:lineRule="exact" w:line="300"/>
              <w:ind w:left="-57" w:right="-57" w:hanging="0"/>
              <w:rPr>
                <w:sz w:val="24"/>
                <w:szCs w:val="24"/>
              </w:rPr>
            </w:pPr>
            <w:r>
              <w:rPr>
                <w:sz w:val="24"/>
                <w:szCs w:val="24"/>
              </w:rPr>
              <w:t>94</w:t>
            </w:r>
          </w:p>
        </w:tc>
        <w:tc>
          <w:tcPr>
            <w:tcW w:w="1862" w:type="dxa"/>
            <w:tcBorders>
              <w:top w:val="dotted" w:sz="4" w:space="0" w:color="000000"/>
              <w:left w:val="dotted" w:sz="4" w:space="0" w:color="000000"/>
              <w:bottom w:val="dotted" w:sz="4" w:space="0" w:color="000000"/>
              <w:right w:val="dotted" w:sz="4" w:space="0" w:color="000000"/>
            </w:tcBorders>
            <w:vAlign w:val="bottom"/>
          </w:tcPr>
          <w:p>
            <w:pPr>
              <w:pStyle w:val="Normal"/>
              <w:tabs>
                <w:tab w:val="clear" w:pos="708"/>
                <w:tab w:val="decimal" w:pos="852" w:leader="none"/>
              </w:tabs>
              <w:spacing w:lineRule="exact" w:line="300"/>
              <w:ind w:left="-57" w:right="-57" w:hanging="0"/>
              <w:rPr>
                <w:sz w:val="24"/>
                <w:szCs w:val="24"/>
              </w:rPr>
            </w:pPr>
            <w:r>
              <w:rPr>
                <w:sz w:val="24"/>
                <w:szCs w:val="24"/>
              </w:rPr>
              <w:t>91</w:t>
            </w:r>
          </w:p>
        </w:tc>
        <w:tc>
          <w:tcPr>
            <w:tcW w:w="1862" w:type="dxa"/>
            <w:tcBorders>
              <w:top w:val="dotted" w:sz="4" w:space="0" w:color="000000"/>
              <w:left w:val="dotted" w:sz="4" w:space="0" w:color="000000"/>
              <w:bottom w:val="dotted" w:sz="4" w:space="0" w:color="000000"/>
              <w:right w:val="double" w:sz="4" w:space="0" w:color="000000"/>
            </w:tcBorders>
            <w:vAlign w:val="center"/>
          </w:tcPr>
          <w:p>
            <w:pPr>
              <w:pStyle w:val="Normal"/>
              <w:tabs>
                <w:tab w:val="clear" w:pos="708"/>
                <w:tab w:val="decimal" w:pos="852" w:leader="none"/>
              </w:tabs>
              <w:spacing w:lineRule="exact" w:line="300"/>
              <w:ind w:left="-57" w:right="-57" w:hanging="0"/>
              <w:rPr>
                <w:sz w:val="24"/>
                <w:szCs w:val="24"/>
              </w:rPr>
            </w:pPr>
            <w:r>
              <w:rPr>
                <w:sz w:val="24"/>
                <w:szCs w:val="24"/>
              </w:rPr>
              <w:t>91</w:t>
            </w:r>
          </w:p>
        </w:tc>
      </w:tr>
    </w:tbl>
    <w:p>
      <w:pPr>
        <w:pStyle w:val="Normal"/>
        <w:numPr>
          <w:ilvl w:val="0"/>
          <w:numId w:val="6"/>
        </w:numPr>
        <w:jc w:val="center"/>
        <w:rPr>
          <w:b/>
          <w:b/>
          <w:bCs/>
          <w:color w:val="000000"/>
          <w:sz w:val="28"/>
          <w:szCs w:val="28"/>
        </w:rPr>
      </w:pPr>
      <w:r>
        <w:rPr>
          <w:b/>
          <w:bCs/>
          <w:color w:val="000000"/>
          <w:sz w:val="28"/>
          <w:szCs w:val="28"/>
        </w:rPr>
        <w:t xml:space="preserve">  </w:t>
      </w:r>
      <w:r>
        <w:rPr>
          <w:b/>
          <w:bCs/>
          <w:color w:val="000000"/>
          <w:sz w:val="28"/>
          <w:szCs w:val="28"/>
        </w:rPr>
        <w:t>Цели и задачи муниципальной программы</w:t>
      </w:r>
    </w:p>
    <w:p>
      <w:pPr>
        <w:pStyle w:val="Normal"/>
        <w:ind w:left="862" w:hanging="0"/>
        <w:rPr>
          <w:b/>
          <w:b/>
          <w:bCs/>
          <w:color w:val="000000"/>
          <w:sz w:val="28"/>
          <w:szCs w:val="28"/>
        </w:rPr>
      </w:pPr>
      <w:r>
        <w:rPr>
          <w:b/>
          <w:bCs/>
          <w:color w:val="000000"/>
          <w:sz w:val="28"/>
          <w:szCs w:val="28"/>
        </w:rPr>
      </w:r>
    </w:p>
    <w:p>
      <w:pPr>
        <w:pStyle w:val="Normal"/>
        <w:suppressAutoHyphens w:val="false"/>
        <w:ind w:firstLine="709"/>
        <w:jc w:val="both"/>
        <w:rPr/>
      </w:pPr>
      <w:r>
        <w:rPr>
          <w:sz w:val="28"/>
          <w:szCs w:val="28"/>
          <w:lang w:eastAsia="ru-RU"/>
        </w:rPr>
        <w:t>В современных условиях понятие «система здравоохранения» все дальше уходит от рамок, задаваемых понятием «система диагностики и лечения». В настоящее время актуализируются такие задачи, как формирование здорового образа жизни, комфортной среды обитания, создание условий для эффективного труда и отдыха, что позволит предотвратить развитие заболеваний, в первую очередь тех, которые обуславливают преждевременную смертность и инвалидизацию населения. Согласно рекомендациям ВОЗ,</w:t>
      </w:r>
      <w:r>
        <w:rPr>
          <w:sz w:val="28"/>
          <w:szCs w:val="28"/>
          <w:shd w:fill="FFFFFF" w:val="clear"/>
          <w:lang w:eastAsia="ru-RU"/>
        </w:rPr>
        <w:t xml:space="preserve"> </w:t>
      </w:r>
      <w:r>
        <w:rPr>
          <w:sz w:val="28"/>
          <w:szCs w:val="28"/>
          <w:lang w:eastAsia="ru-RU"/>
        </w:rPr>
        <w:t>выполнение этих задач в рамках только системы здравоохранения невозможно и требует широкого межсекторального и многоуровневого взаимодействия.</w:t>
      </w:r>
    </w:p>
    <w:p>
      <w:pPr>
        <w:pStyle w:val="Normal"/>
        <w:suppressAutoHyphens w:val="false"/>
        <w:ind w:firstLine="709"/>
        <w:jc w:val="both"/>
        <w:rPr>
          <w:sz w:val="28"/>
          <w:szCs w:val="28"/>
          <w:lang w:eastAsia="ru-RU"/>
        </w:rPr>
      </w:pPr>
      <w:r>
        <w:rPr>
          <w:sz w:val="28"/>
          <w:szCs w:val="28"/>
          <w:lang w:eastAsia="ru-RU"/>
        </w:rPr>
        <w:t>Период до 2030 года будет характеризоваться дальнейшим активным распространением и усилением роли механизмов, обеспечивающих недопущение или, возможно, более раннюю коррекцию факторов риска развития заболеваний и самих заболеваний. Современный человек формирует спрос не только на медицинские услуги, но и на комплекс услуг и условий жизни, направленных на поддержание здорового состояния, более позднее развитие и меньшую выраженность заболеваний, ассоциированных с возрастными изменениями организма.</w:t>
      </w:r>
    </w:p>
    <w:p>
      <w:pPr>
        <w:pStyle w:val="Normal"/>
        <w:suppressAutoHyphens w:val="false"/>
        <w:ind w:firstLine="709"/>
        <w:jc w:val="both"/>
        <w:rPr>
          <w:sz w:val="28"/>
          <w:szCs w:val="28"/>
          <w:lang w:eastAsia="ru-RU"/>
        </w:rPr>
      </w:pPr>
      <w:r>
        <w:rPr>
          <w:sz w:val="28"/>
          <w:szCs w:val="28"/>
          <w:lang w:eastAsia="ru-RU"/>
        </w:rPr>
        <w:t>Дальнейшее развитие в этом направлении будет обусловлено осознанием важности проведения профилактических мероприятий, значительную роль в реализации которых играет культура здорового образа жизни.</w:t>
      </w:r>
    </w:p>
    <w:p>
      <w:pPr>
        <w:pStyle w:val="Normal"/>
        <w:suppressAutoHyphens w:val="false"/>
        <w:ind w:firstLine="709"/>
        <w:jc w:val="both"/>
        <w:rPr>
          <w:sz w:val="28"/>
          <w:szCs w:val="28"/>
          <w:lang w:eastAsia="ru-RU"/>
        </w:rPr>
      </w:pPr>
      <w:r>
        <w:rPr>
          <w:sz w:val="28"/>
          <w:szCs w:val="28"/>
          <w:lang w:eastAsia="ru-RU"/>
        </w:rPr>
        <w:t>Задачи, поставленные программой, определяют необходимость взаимодействия местных органов власти, являющихся исполнителями и участниками программы, с федеральными органами исполнительной власти, широким кругом организаций всех форм собственности, общественными организациями по всему спектру вопросов, имеющих отношение к охране здоровья населения и пропаганде здорового образа жизни.</w:t>
      </w:r>
      <w:bookmarkStart w:id="19" w:name="Par140"/>
      <w:bookmarkEnd w:id="19"/>
    </w:p>
    <w:p>
      <w:pPr>
        <w:pStyle w:val="Normal"/>
        <w:suppressAutoHyphens w:val="false"/>
        <w:ind w:firstLine="709"/>
        <w:jc w:val="both"/>
        <w:rPr>
          <w:sz w:val="28"/>
          <w:szCs w:val="28"/>
          <w:lang w:eastAsia="ru-RU"/>
        </w:rPr>
      </w:pPr>
      <w:r>
        <w:rPr>
          <w:sz w:val="28"/>
          <w:szCs w:val="28"/>
          <w:lang w:eastAsia="ru-RU"/>
        </w:rPr>
      </w:r>
    </w:p>
    <w:p>
      <w:pPr>
        <w:pStyle w:val="Normal"/>
        <w:widowControl w:val="false"/>
        <w:ind w:firstLine="709"/>
        <w:jc w:val="both"/>
        <w:rPr/>
      </w:pPr>
      <w:r>
        <w:rPr>
          <w:sz w:val="28"/>
          <w:szCs w:val="28"/>
          <w:lang w:eastAsia="ru-RU"/>
        </w:rPr>
        <w:t xml:space="preserve">Цель программы - </w:t>
      </w:r>
      <w:r>
        <w:rPr>
          <w:kern w:val="2"/>
          <w:sz w:val="28"/>
          <w:szCs w:val="28"/>
          <w:lang w:eastAsia="ar-SA"/>
        </w:rPr>
        <w:t>обеспечение к 2028 году увеличения доли граждан, ведущих здоровый образ жизни за счет формирования среды, способствующей ведению гражданами здорового образа жизни, включая здоровое питание, защиту от табачного дыма, снижение потребления алкоголя, мотивирования граждан к ведению здорового образа жизни посредством информационно-коммуникационной кампании, а также вовлечения граждан в мероприятия по укреплению общественного здоровья, улучшение качества жизни, сохранение репродуктивного и стоматологического  здоровья населения Топкинского муниципального округа за счет осуществления комплекса профилактических  мероприятий.</w:t>
      </w:r>
    </w:p>
    <w:p>
      <w:pPr>
        <w:pStyle w:val="Normal"/>
        <w:widowControl w:val="false"/>
        <w:ind w:firstLine="709"/>
        <w:jc w:val="both"/>
        <w:rPr>
          <w:kern w:val="2"/>
          <w:sz w:val="28"/>
          <w:szCs w:val="28"/>
          <w:lang w:eastAsia="ar-SA"/>
        </w:rPr>
      </w:pPr>
      <w:r>
        <w:rPr>
          <w:kern w:val="2"/>
          <w:sz w:val="28"/>
          <w:szCs w:val="28"/>
          <w:lang w:eastAsia="ar-SA"/>
        </w:rPr>
      </w:r>
    </w:p>
    <w:p>
      <w:pPr>
        <w:pStyle w:val="Normal"/>
        <w:widowControl w:val="false"/>
        <w:ind w:firstLine="709"/>
        <w:jc w:val="both"/>
        <w:rPr>
          <w:kern w:val="2"/>
          <w:sz w:val="28"/>
          <w:szCs w:val="28"/>
          <w:lang w:eastAsia="ar-SA"/>
        </w:rPr>
      </w:pPr>
      <w:r>
        <w:rPr>
          <w:kern w:val="2"/>
          <w:sz w:val="28"/>
          <w:szCs w:val="28"/>
          <w:lang w:eastAsia="ar-SA"/>
        </w:rPr>
        <w:t>Задачи программы:</w:t>
      </w:r>
    </w:p>
    <w:p>
      <w:pPr>
        <w:pStyle w:val="Style28"/>
        <w:suppressAutoHyphens w:val="false"/>
        <w:spacing w:lineRule="atLeast" w:line="200" w:before="0" w:after="0"/>
        <w:ind w:left="0" w:right="0" w:hanging="0"/>
        <w:contextualSpacing/>
        <w:jc w:val="both"/>
        <w:rPr>
          <w:sz w:val="28"/>
          <w:szCs w:val="28"/>
        </w:rPr>
      </w:pPr>
      <w:r>
        <w:rPr>
          <w:sz w:val="28"/>
          <w:szCs w:val="28"/>
        </w:rPr>
        <w:tab/>
        <w:t>- Мотивирование граждан к ведению здорового образа жизни посредством проведения информационно-коммуникационной кампании, а также вовлечения граждан и общественных организаций в мероприятия по укреплению общественного здоровья;</w:t>
      </w:r>
    </w:p>
    <w:p>
      <w:pPr>
        <w:pStyle w:val="Style28"/>
        <w:suppressAutoHyphens w:val="false"/>
        <w:spacing w:lineRule="atLeast" w:line="200" w:before="0" w:after="0"/>
        <w:ind w:left="0" w:right="0" w:hanging="0"/>
        <w:contextualSpacing/>
        <w:jc w:val="both"/>
        <w:rPr>
          <w:color w:val="000000"/>
          <w:sz w:val="28"/>
          <w:szCs w:val="28"/>
        </w:rPr>
      </w:pPr>
      <w:r>
        <w:rPr>
          <w:color w:val="000000"/>
          <w:sz w:val="28"/>
          <w:szCs w:val="28"/>
        </w:rPr>
        <w:tab/>
        <w:t>- Мотивирование граждан к ведению здорового образа жизни посредством внедрения программ укрепления здоровья на рабочем месте (корпоративные программы укрепления здоровья);</w:t>
      </w:r>
    </w:p>
    <w:p>
      <w:pPr>
        <w:pStyle w:val="Style28"/>
        <w:suppressAutoHyphens w:val="false"/>
        <w:spacing w:lineRule="atLeast" w:line="200" w:before="0" w:after="0"/>
        <w:ind w:left="0" w:right="0" w:hanging="0"/>
        <w:contextualSpacing/>
        <w:jc w:val="both"/>
        <w:rPr>
          <w:sz w:val="28"/>
          <w:szCs w:val="28"/>
        </w:rPr>
      </w:pPr>
      <w:r>
        <w:rPr>
          <w:sz w:val="28"/>
          <w:szCs w:val="28"/>
        </w:rPr>
        <w:tab/>
        <w:t>- Формирование системы мотивации граждан к здоровому образу жизни, включая здоровое питание, отказ от вредных привычек и наркотиков;</w:t>
      </w:r>
    </w:p>
    <w:p>
      <w:pPr>
        <w:pStyle w:val="Style28"/>
        <w:suppressAutoHyphens w:val="false"/>
        <w:spacing w:lineRule="atLeast" w:line="200" w:before="0" w:after="0"/>
        <w:ind w:left="0" w:right="0" w:hanging="0"/>
        <w:contextualSpacing/>
        <w:jc w:val="both"/>
        <w:rPr>
          <w:sz w:val="28"/>
          <w:szCs w:val="28"/>
        </w:rPr>
      </w:pPr>
      <w:r>
        <w:rPr>
          <w:sz w:val="28"/>
          <w:szCs w:val="28"/>
        </w:rPr>
        <w:tab/>
        <w:t>- Противодействие распространению потребления табака и алкоголя;</w:t>
      </w:r>
    </w:p>
    <w:p>
      <w:pPr>
        <w:pStyle w:val="Style28"/>
        <w:suppressAutoHyphens w:val="false"/>
        <w:spacing w:lineRule="atLeast" w:line="200" w:before="0" w:after="0"/>
        <w:ind w:left="0" w:right="0" w:hanging="0"/>
        <w:contextualSpacing/>
        <w:jc w:val="both"/>
        <w:rPr>
          <w:sz w:val="28"/>
          <w:szCs w:val="28"/>
        </w:rPr>
      </w:pPr>
      <w:r>
        <w:rPr>
          <w:sz w:val="28"/>
          <w:szCs w:val="28"/>
        </w:rPr>
        <w:tab/>
        <w:t>- Сохранение стоматологического и репродуктивного здоровья населения   за счет осуществления комплекса профилактических мероприятий;</w:t>
      </w:r>
    </w:p>
    <w:p>
      <w:pPr>
        <w:pStyle w:val="Style28"/>
        <w:suppressAutoHyphens w:val="false"/>
        <w:spacing w:lineRule="atLeast" w:line="200" w:before="0" w:after="0"/>
        <w:ind w:left="0" w:right="0" w:hanging="0"/>
        <w:contextualSpacing/>
        <w:jc w:val="both"/>
        <w:rPr/>
      </w:pPr>
      <w:r>
        <w:rPr>
          <w:color w:val="000000"/>
          <w:sz w:val="28"/>
          <w:szCs w:val="28"/>
        </w:rPr>
        <w:tab/>
        <w:t xml:space="preserve">- Проведение мероприятий, стимулирующих прохождение населением диспансеризации, </w:t>
      </w:r>
      <w:r>
        <w:rPr>
          <w:sz w:val="28"/>
          <w:szCs w:val="28"/>
        </w:rPr>
        <w:t>профилактических осмотров, вакцинации;</w:t>
      </w:r>
    </w:p>
    <w:p>
      <w:pPr>
        <w:pStyle w:val="Style28"/>
        <w:suppressAutoHyphens w:val="false"/>
        <w:spacing w:lineRule="atLeast" w:line="200" w:before="0" w:after="0"/>
        <w:ind w:left="0" w:right="0" w:hanging="0"/>
        <w:contextualSpacing/>
        <w:jc w:val="both"/>
        <w:rPr>
          <w:color w:val="000000"/>
          <w:sz w:val="28"/>
          <w:szCs w:val="28"/>
          <w:lang w:eastAsia="ru-RU"/>
        </w:rPr>
      </w:pPr>
      <w:r>
        <w:rPr>
          <w:color w:val="000000"/>
          <w:sz w:val="28"/>
          <w:szCs w:val="28"/>
          <w:lang w:eastAsia="ru-RU"/>
        </w:rPr>
        <w:tab/>
        <w:t>- Создание среды, способствующей ведению здорового образа жизни населением (планировочные решения, спортивные площадки, парки и др.);</w:t>
      </w:r>
    </w:p>
    <w:p>
      <w:pPr>
        <w:pStyle w:val="Style28"/>
        <w:suppressAutoHyphens w:val="false"/>
        <w:spacing w:lineRule="atLeast" w:line="200" w:before="0" w:after="0"/>
        <w:ind w:left="0" w:right="0" w:hanging="0"/>
        <w:contextualSpacing/>
        <w:jc w:val="both"/>
        <w:rPr>
          <w:color w:val="000000"/>
          <w:sz w:val="28"/>
          <w:szCs w:val="28"/>
        </w:rPr>
      </w:pPr>
      <w:r>
        <w:rPr>
          <w:color w:val="000000"/>
          <w:sz w:val="28"/>
          <w:szCs w:val="28"/>
        </w:rPr>
        <w:tab/>
        <w:t xml:space="preserve">- Проведение экологических мероприятий, направленных на улучшение экологической обстановки; </w:t>
      </w:r>
    </w:p>
    <w:p>
      <w:pPr>
        <w:pStyle w:val="Style28"/>
        <w:suppressAutoHyphens w:val="false"/>
        <w:spacing w:lineRule="atLeast" w:line="200" w:before="0" w:after="0"/>
        <w:ind w:left="0" w:right="0" w:hanging="0"/>
        <w:contextualSpacing/>
        <w:jc w:val="both"/>
        <w:rPr>
          <w:color w:val="000000"/>
          <w:sz w:val="28"/>
          <w:szCs w:val="28"/>
        </w:rPr>
      </w:pPr>
      <w:r>
        <w:rPr>
          <w:color w:val="000000"/>
          <w:sz w:val="28"/>
          <w:szCs w:val="28"/>
        </w:rPr>
        <w:tab/>
        <w:t>- Мониторинг факторов риска неинфекционных заболеваний.</w:t>
      </w:r>
    </w:p>
    <w:p>
      <w:pPr>
        <w:pStyle w:val="NoSpacing"/>
        <w:jc w:val="both"/>
        <w:rPr>
          <w:rFonts w:ascii="Times New Roman" w:hAnsi="Times New Roman" w:cs="Times New Roman"/>
          <w:b/>
          <w:b/>
          <w:bCs/>
          <w:color w:val="000000"/>
          <w:sz w:val="28"/>
          <w:szCs w:val="28"/>
        </w:rPr>
      </w:pPr>
      <w:r>
        <w:rPr>
          <w:rFonts w:cs="Times New Roman" w:ascii="Times New Roman" w:hAnsi="Times New Roman"/>
          <w:b/>
          <w:bCs/>
          <w:color w:val="000000"/>
          <w:sz w:val="28"/>
          <w:szCs w:val="28"/>
        </w:rPr>
      </w:r>
    </w:p>
    <w:p>
      <w:pPr>
        <w:pStyle w:val="Normal"/>
        <w:shd w:fill="FFFFFF" w:val="clear"/>
        <w:tabs>
          <w:tab w:val="clear" w:pos="708"/>
          <w:tab w:val="left" w:pos="7371" w:leader="none"/>
        </w:tabs>
        <w:jc w:val="center"/>
        <w:rPr>
          <w:b/>
          <w:b/>
          <w:bCs/>
          <w:color w:val="000000"/>
          <w:sz w:val="28"/>
          <w:szCs w:val="28"/>
        </w:rPr>
      </w:pPr>
      <w:r>
        <w:rPr>
          <w:b/>
          <w:bCs/>
          <w:color w:val="000000"/>
          <w:sz w:val="28"/>
          <w:szCs w:val="28"/>
        </w:rPr>
        <w:t>9. Этапы и сроки реализации муниципальной программы</w:t>
      </w:r>
    </w:p>
    <w:p>
      <w:pPr>
        <w:pStyle w:val="Normal"/>
        <w:shd w:fill="FFFFFF" w:val="clear"/>
        <w:tabs>
          <w:tab w:val="clear" w:pos="708"/>
          <w:tab w:val="left" w:pos="7371" w:leader="none"/>
        </w:tabs>
        <w:jc w:val="center"/>
        <w:rPr>
          <w:b/>
          <w:b/>
          <w:bCs/>
          <w:color w:val="000000"/>
          <w:sz w:val="28"/>
          <w:szCs w:val="28"/>
        </w:rPr>
      </w:pPr>
      <w:r>
        <w:rPr>
          <w:b/>
          <w:bCs/>
          <w:color w:val="000000"/>
          <w:sz w:val="28"/>
          <w:szCs w:val="28"/>
        </w:rPr>
      </w:r>
    </w:p>
    <w:p>
      <w:pPr>
        <w:pStyle w:val="NoSpacing"/>
        <w:ind w:firstLine="720"/>
        <w:jc w:val="both"/>
        <w:rPr>
          <w:rFonts w:ascii="Times New Roman" w:hAnsi="Times New Roman" w:cs="Times New Roman"/>
          <w:sz w:val="28"/>
          <w:szCs w:val="28"/>
        </w:rPr>
      </w:pPr>
      <w:r>
        <w:rPr>
          <w:rFonts w:cs="Times New Roman" w:ascii="Times New Roman" w:hAnsi="Times New Roman"/>
          <w:sz w:val="28"/>
          <w:szCs w:val="28"/>
        </w:rPr>
        <w:t>Реализация муниципальной программы осуществляется в один этап. Сроки реализации 2025-2028 годы.</w:t>
      </w:r>
    </w:p>
    <w:p>
      <w:pPr>
        <w:pStyle w:val="NoSpacing"/>
        <w:jc w:val="both"/>
        <w:rPr>
          <w:rFonts w:ascii="Times New Roman" w:hAnsi="Times New Roman" w:cs="Times New Roman"/>
          <w:sz w:val="28"/>
          <w:szCs w:val="28"/>
        </w:rPr>
      </w:pPr>
      <w:r>
        <w:rPr>
          <w:rFonts w:cs="Times New Roman" w:ascii="Times New Roman" w:hAnsi="Times New Roman"/>
          <w:sz w:val="28"/>
          <w:szCs w:val="28"/>
        </w:rPr>
      </w:r>
    </w:p>
    <w:p>
      <w:pPr>
        <w:pStyle w:val="Normal"/>
        <w:shd w:fill="FFFFFF" w:val="clear"/>
        <w:jc w:val="center"/>
        <w:rPr>
          <w:b/>
          <w:b/>
          <w:bCs/>
          <w:color w:val="000000"/>
          <w:sz w:val="28"/>
          <w:szCs w:val="28"/>
        </w:rPr>
      </w:pPr>
      <w:r>
        <w:rPr>
          <w:b/>
          <w:bCs/>
          <w:color w:val="000000"/>
          <w:sz w:val="28"/>
          <w:szCs w:val="28"/>
        </w:rPr>
        <w:t>10. Ожидаемые результаты реализации муниципальной программы</w:t>
      </w:r>
    </w:p>
    <w:p>
      <w:pPr>
        <w:pStyle w:val="Normal"/>
        <w:shd w:fill="FFFFFF" w:val="clear"/>
        <w:jc w:val="center"/>
        <w:rPr>
          <w:b/>
          <w:b/>
          <w:bCs/>
          <w:color w:val="000000"/>
          <w:sz w:val="28"/>
          <w:szCs w:val="28"/>
        </w:rPr>
      </w:pPr>
      <w:r>
        <w:rPr>
          <w:b/>
          <w:bCs/>
          <w:color w:val="000000"/>
          <w:sz w:val="28"/>
          <w:szCs w:val="28"/>
        </w:rPr>
      </w:r>
    </w:p>
    <w:p>
      <w:pPr>
        <w:pStyle w:val="Normal"/>
        <w:ind w:firstLine="720"/>
        <w:rPr>
          <w:sz w:val="28"/>
          <w:szCs w:val="28"/>
        </w:rPr>
      </w:pPr>
      <w:r>
        <w:rPr>
          <w:sz w:val="28"/>
          <w:szCs w:val="28"/>
        </w:rPr>
        <w:t>К 2028 году планируется достижение следующих значений:</w:t>
      </w:r>
    </w:p>
    <w:p>
      <w:pPr>
        <w:pStyle w:val="Normal"/>
        <w:spacing w:lineRule="atLeast" w:line="200"/>
        <w:jc w:val="both"/>
        <w:rPr>
          <w:sz w:val="28"/>
          <w:szCs w:val="28"/>
        </w:rPr>
      </w:pPr>
      <w:r>
        <w:rPr>
          <w:sz w:val="28"/>
          <w:szCs w:val="28"/>
        </w:rPr>
        <w:tab/>
        <w:t xml:space="preserve">- ежегодный охват мероприятиями по укреплению общественного здоровья среди населения не менее 30%;     </w:t>
      </w:r>
    </w:p>
    <w:p>
      <w:pPr>
        <w:pStyle w:val="NoSpacing"/>
        <w:jc w:val="both"/>
        <w:rPr>
          <w:rFonts w:ascii="Times New Roman" w:hAnsi="Times New Roman" w:cs="Times New Roman"/>
          <w:sz w:val="28"/>
          <w:szCs w:val="28"/>
        </w:rPr>
      </w:pPr>
      <w:r>
        <w:rPr>
          <w:rFonts w:cs="Times New Roman" w:ascii="Times New Roman" w:hAnsi="Times New Roman"/>
          <w:sz w:val="28"/>
          <w:szCs w:val="28"/>
        </w:rPr>
        <w:tab/>
        <w:t>- доля граждан, систематически занимающихся физической культурой и спортом не менее 70%;</w:t>
      </w:r>
    </w:p>
    <w:p>
      <w:pPr>
        <w:pStyle w:val="Normal"/>
        <w:jc w:val="both"/>
        <w:rPr>
          <w:color w:val="000000"/>
          <w:sz w:val="28"/>
          <w:szCs w:val="28"/>
          <w:lang w:eastAsia="ru-RU"/>
        </w:rPr>
      </w:pPr>
      <w:r>
        <w:rPr>
          <w:color w:val="000000"/>
          <w:sz w:val="28"/>
          <w:szCs w:val="28"/>
          <w:lang w:eastAsia="ru-RU"/>
        </w:rPr>
        <w:tab/>
        <w:t>- создание среды, способствующей ведению здорового образа жизни населением (установка нового игрового и спортивного оборудования (6 единиц), спортивных площадок (2 единицы), обустройство Спортивного парка, капитальный ремонт улицы Чехова с оборудованием пешеходной зоны и велодорожек.</w:t>
      </w:r>
    </w:p>
    <w:p>
      <w:pPr>
        <w:pStyle w:val="Normal"/>
        <w:keepNext w:val="true"/>
        <w:widowControl w:val="false"/>
        <w:numPr>
          <w:ilvl w:val="0"/>
          <w:numId w:val="0"/>
        </w:numPr>
        <w:tabs>
          <w:tab w:val="clear" w:pos="708"/>
          <w:tab w:val="left" w:pos="0" w:leader="none"/>
        </w:tabs>
        <w:jc w:val="both"/>
        <w:outlineLvl w:val="0"/>
        <w:rPr>
          <w:color w:val="000000"/>
          <w:sz w:val="28"/>
          <w:szCs w:val="28"/>
          <w:lang w:eastAsia="ru-RU"/>
        </w:rPr>
      </w:pPr>
      <w:r>
        <w:rPr>
          <w:color w:val="000000"/>
          <w:sz w:val="28"/>
          <w:szCs w:val="28"/>
          <w:lang w:eastAsia="ru-RU"/>
        </w:rPr>
      </w:r>
    </w:p>
    <w:p>
      <w:pPr>
        <w:pStyle w:val="Style28"/>
        <w:numPr>
          <w:ilvl w:val="0"/>
          <w:numId w:val="10"/>
        </w:numPr>
        <w:spacing w:lineRule="auto" w:line="240" w:before="0" w:after="0"/>
        <w:ind w:left="0" w:right="0" w:firstLine="709"/>
        <w:contextualSpacing/>
        <w:jc w:val="both"/>
        <w:rPr>
          <w:rFonts w:eastAsia="Calibri"/>
          <w:b/>
          <w:b/>
          <w:vanish/>
          <w:color w:val="000000"/>
          <w:sz w:val="28"/>
          <w:szCs w:val="28"/>
          <w:u w:val="single"/>
          <w:lang w:eastAsia="ru-RU"/>
        </w:rPr>
      </w:pPr>
      <w:r>
        <w:rPr>
          <w:rFonts w:eastAsia="Calibri"/>
          <w:b/>
          <w:vanish/>
          <w:color w:val="000000"/>
          <w:sz w:val="28"/>
          <w:szCs w:val="28"/>
          <w:u w:val="single"/>
          <w:lang w:eastAsia="ru-RU"/>
        </w:rPr>
      </w:r>
    </w:p>
    <w:p>
      <w:pPr>
        <w:pStyle w:val="Style28"/>
        <w:spacing w:lineRule="auto" w:line="240" w:before="0" w:after="0"/>
        <w:ind w:left="0" w:right="0" w:firstLine="709"/>
        <w:contextualSpacing/>
        <w:jc w:val="both"/>
        <w:rPr>
          <w:rFonts w:eastAsia="Calibri"/>
          <w:bCs/>
          <w:sz w:val="28"/>
          <w:szCs w:val="28"/>
        </w:rPr>
      </w:pPr>
      <w:r>
        <w:rPr>
          <w:rFonts w:eastAsia="Calibri"/>
          <w:bCs/>
          <w:sz w:val="28"/>
          <w:szCs w:val="28"/>
        </w:rPr>
        <w:t xml:space="preserve">Механизм межведомственного взаимодействия реализуется при разработке и реализации мероприятий программы, направленных на формирование приверженности принципам здорового образа жизни у разных возрастных и социальных групп населения Топкинского муниципального округа. </w:t>
      </w:r>
    </w:p>
    <w:p>
      <w:pPr>
        <w:pStyle w:val="Style28"/>
        <w:spacing w:lineRule="auto" w:line="240" w:before="0" w:after="0"/>
        <w:ind w:left="0" w:right="0" w:firstLine="709"/>
        <w:contextualSpacing/>
        <w:jc w:val="both"/>
        <w:rPr>
          <w:rFonts w:eastAsia="Calibri"/>
          <w:bCs/>
          <w:sz w:val="28"/>
          <w:szCs w:val="28"/>
        </w:rPr>
      </w:pPr>
      <w:r>
        <w:rPr>
          <w:rFonts w:eastAsia="Calibri"/>
          <w:bCs/>
          <w:sz w:val="28"/>
          <w:szCs w:val="28"/>
        </w:rPr>
        <w:t>Общая эффективность реализации мероприятий программы отслеживается через достижение количественных показателей, напрямую влияющих на увеличение доли населения - участников мероприятий программы. Рост количества населения, вовлеченных в деятельность, продвигающую здоровый образ жизни, способствует увеличению их приверженности принципам ЗОЖ.</w:t>
      </w:r>
    </w:p>
    <w:p>
      <w:pPr>
        <w:pStyle w:val="Normal"/>
        <w:numPr>
          <w:ilvl w:val="0"/>
          <w:numId w:val="0"/>
        </w:numPr>
        <w:spacing w:lineRule="auto" w:line="360"/>
        <w:ind w:firstLine="709"/>
        <w:jc w:val="both"/>
        <w:rPr>
          <w:color w:val="000000" w:themeColor="text1"/>
          <w:sz w:val="28"/>
          <w:szCs w:val="28"/>
        </w:rPr>
      </w:pPr>
      <w:r>
        <w:rPr>
          <w:sz w:val="28"/>
          <w:szCs w:val="28"/>
        </w:rPr>
        <w:t xml:space="preserve">Реализация мероприятий программы позволит обеспечить стабильное увеличение доли населения Топкинского муниципального округа, ответственно относящихся к своему здоровью. </w:t>
      </w:r>
    </w:p>
    <w:p>
      <w:pPr>
        <w:pStyle w:val="Normal"/>
        <w:numPr>
          <w:ilvl w:val="0"/>
          <w:numId w:val="0"/>
        </w:numPr>
        <w:spacing w:lineRule="auto" w:line="360"/>
        <w:ind w:firstLine="709"/>
        <w:jc w:val="both"/>
        <w:rPr>
          <w:color w:val="000000" w:themeColor="text1"/>
          <w:sz w:val="28"/>
          <w:szCs w:val="28"/>
        </w:rPr>
      </w:pPr>
      <w:r>
        <w:rPr>
          <w:sz w:val="28"/>
          <w:szCs w:val="28"/>
        </w:rPr>
      </w:r>
    </w:p>
    <w:p>
      <w:pPr>
        <w:pStyle w:val="Normal"/>
        <w:numPr>
          <w:ilvl w:val="0"/>
          <w:numId w:val="0"/>
        </w:numPr>
        <w:spacing w:lineRule="auto" w:line="360"/>
        <w:ind w:firstLine="709"/>
        <w:jc w:val="both"/>
        <w:rPr>
          <w:color w:val="000000" w:themeColor="text1"/>
          <w:sz w:val="28"/>
          <w:szCs w:val="28"/>
        </w:rPr>
      </w:pPr>
      <w:r>
        <w:rPr>
          <w:sz w:val="28"/>
          <w:szCs w:val="28"/>
        </w:rPr>
      </w:r>
    </w:p>
    <w:p>
      <w:pPr>
        <w:pStyle w:val="Normal"/>
        <w:numPr>
          <w:ilvl w:val="0"/>
          <w:numId w:val="0"/>
        </w:numPr>
        <w:spacing w:lineRule="auto" w:line="360"/>
        <w:ind w:firstLine="709"/>
        <w:jc w:val="both"/>
        <w:rPr>
          <w:color w:val="000000" w:themeColor="text1"/>
          <w:sz w:val="28"/>
          <w:szCs w:val="28"/>
        </w:rPr>
      </w:pPr>
      <w:r>
        <w:rPr>
          <w:sz w:val="28"/>
          <w:szCs w:val="28"/>
        </w:rPr>
      </w:r>
    </w:p>
    <w:p>
      <w:pPr>
        <w:pStyle w:val="Normal"/>
        <w:numPr>
          <w:ilvl w:val="0"/>
          <w:numId w:val="0"/>
        </w:numPr>
        <w:spacing w:lineRule="auto" w:line="360"/>
        <w:ind w:firstLine="709"/>
        <w:jc w:val="both"/>
        <w:rPr>
          <w:color w:val="000000" w:themeColor="text1"/>
          <w:sz w:val="28"/>
          <w:szCs w:val="28"/>
        </w:rPr>
      </w:pPr>
      <w:r>
        <w:rPr>
          <w:sz w:val="28"/>
          <w:szCs w:val="28"/>
        </w:rPr>
      </w:r>
    </w:p>
    <w:p>
      <w:pPr>
        <w:pStyle w:val="Normal"/>
        <w:numPr>
          <w:ilvl w:val="0"/>
          <w:numId w:val="0"/>
        </w:numPr>
        <w:spacing w:lineRule="auto" w:line="360"/>
        <w:ind w:firstLine="709"/>
        <w:jc w:val="both"/>
        <w:rPr>
          <w:color w:val="000000" w:themeColor="text1"/>
          <w:sz w:val="28"/>
          <w:szCs w:val="28"/>
        </w:rPr>
      </w:pPr>
      <w:r>
        <w:rPr>
          <w:sz w:val="28"/>
          <w:szCs w:val="28"/>
        </w:rPr>
      </w:r>
    </w:p>
    <w:p>
      <w:pPr>
        <w:sectPr>
          <w:headerReference w:type="default" r:id="rId5"/>
          <w:headerReference w:type="first" r:id="rId6"/>
          <w:footerReference w:type="even" r:id="rId7"/>
          <w:footerReference w:type="default" r:id="rId8"/>
          <w:footerReference w:type="first" r:id="rId9"/>
          <w:type w:val="nextPage"/>
          <w:pgSz w:w="11906" w:h="16838"/>
          <w:pgMar w:left="1701" w:right="1133" w:gutter="0" w:header="720" w:top="1134" w:footer="567" w:bottom="624"/>
          <w:pgNumType w:fmt="decimal"/>
          <w:formProt w:val="false"/>
          <w:titlePg/>
          <w:textDirection w:val="lrTb"/>
          <w:docGrid w:type="default" w:linePitch="326" w:charSpace="0"/>
        </w:sectPr>
        <w:pStyle w:val="Normal"/>
        <w:numPr>
          <w:ilvl w:val="0"/>
          <w:numId w:val="0"/>
        </w:numPr>
        <w:spacing w:lineRule="auto" w:line="360"/>
        <w:ind w:firstLine="709"/>
        <w:jc w:val="both"/>
        <w:rPr>
          <w:color w:val="000000" w:themeColor="text1"/>
          <w:sz w:val="28"/>
          <w:szCs w:val="28"/>
        </w:rPr>
      </w:pPr>
      <w:r>
        <w:rPr>
          <w:sz w:val="28"/>
          <w:szCs w:val="28"/>
        </w:rPr>
      </w:r>
    </w:p>
    <w:p>
      <w:pPr>
        <w:pStyle w:val="Normal"/>
        <w:jc w:val="center"/>
        <w:rPr/>
      </w:pPr>
      <w:r>
        <w:rPr>
          <w:b/>
          <w:bCs/>
          <w:kern w:val="2"/>
          <w:sz w:val="28"/>
          <w:szCs w:val="28"/>
          <w:lang w:val="en-US" w:eastAsia="ar-SA"/>
        </w:rPr>
        <w:t>II</w:t>
      </w:r>
      <w:r>
        <w:rPr>
          <w:b/>
          <w:bCs/>
          <w:kern w:val="2"/>
          <w:sz w:val="28"/>
          <w:szCs w:val="28"/>
          <w:lang w:eastAsia="ar-SA"/>
        </w:rPr>
        <w:t>. План мероприятий муниципальной программы «Укрепление общественного здоровья населения</w:t>
      </w:r>
    </w:p>
    <w:p>
      <w:pPr>
        <w:pStyle w:val="Normal"/>
        <w:shd w:fill="FFFFFF" w:val="clear"/>
        <w:ind w:firstLine="720"/>
        <w:jc w:val="center"/>
        <w:rPr>
          <w:b/>
          <w:b/>
          <w:bCs/>
          <w:kern w:val="2"/>
          <w:sz w:val="28"/>
          <w:szCs w:val="28"/>
          <w:lang w:eastAsia="ar-SA"/>
        </w:rPr>
      </w:pPr>
      <w:r>
        <w:rPr>
          <w:b/>
          <w:bCs/>
          <w:kern w:val="2"/>
          <w:sz w:val="28"/>
          <w:szCs w:val="28"/>
          <w:lang w:eastAsia="ar-SA"/>
        </w:rPr>
        <w:t>Топкинского муниципального округа на 2025 – 2028 годы»</w:t>
      </w:r>
    </w:p>
    <w:p>
      <w:pPr>
        <w:pStyle w:val="Normal"/>
        <w:shd w:fill="FFFFFF" w:val="clear"/>
        <w:ind w:firstLine="720"/>
        <w:rPr>
          <w:b/>
          <w:b/>
          <w:bCs/>
          <w:kern w:val="2"/>
          <w:sz w:val="28"/>
          <w:szCs w:val="28"/>
          <w:lang w:eastAsia="ar-SA"/>
        </w:rPr>
      </w:pPr>
      <w:r>
        <w:rPr>
          <w:b/>
          <w:bCs/>
          <w:kern w:val="2"/>
          <w:sz w:val="28"/>
          <w:szCs w:val="28"/>
          <w:lang w:eastAsia="ar-SA"/>
        </w:rPr>
      </w:r>
    </w:p>
    <w:tbl>
      <w:tblPr>
        <w:tblW w:w="14850" w:type="dxa"/>
        <w:jc w:val="left"/>
        <w:tblInd w:w="-113" w:type="dxa"/>
        <w:tblLayout w:type="fixed"/>
        <w:tblCellMar>
          <w:top w:w="0" w:type="dxa"/>
          <w:left w:w="108" w:type="dxa"/>
          <w:bottom w:w="0" w:type="dxa"/>
          <w:right w:w="108" w:type="dxa"/>
        </w:tblCellMar>
      </w:tblPr>
      <w:tblGrid>
        <w:gridCol w:w="817"/>
        <w:gridCol w:w="4111"/>
        <w:gridCol w:w="1371"/>
        <w:gridCol w:w="1296"/>
        <w:gridCol w:w="2607"/>
        <w:gridCol w:w="4648"/>
      </w:tblGrid>
      <w:tr>
        <w:trPr/>
        <w:tc>
          <w:tcPr>
            <w:tcW w:w="81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w:t>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sz w:val="24"/>
                <w:szCs w:val="24"/>
              </w:rPr>
            </w:pPr>
            <w:r>
              <w:rPr>
                <w:sz w:val="24"/>
                <w:szCs w:val="24"/>
              </w:rPr>
              <w:t>Наименование мероприятия</w:t>
            </w:r>
          </w:p>
        </w:tc>
        <w:tc>
          <w:tcPr>
            <w:tcW w:w="137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sz w:val="24"/>
                <w:szCs w:val="24"/>
              </w:rPr>
            </w:pPr>
            <w:r>
              <w:rPr>
                <w:sz w:val="24"/>
                <w:szCs w:val="24"/>
              </w:rPr>
              <w:t>Начальный период</w:t>
            </w:r>
          </w:p>
        </w:tc>
        <w:tc>
          <w:tcPr>
            <w:tcW w:w="12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sz w:val="24"/>
                <w:szCs w:val="24"/>
              </w:rPr>
            </w:pPr>
            <w:r>
              <w:rPr>
                <w:sz w:val="24"/>
                <w:szCs w:val="24"/>
              </w:rPr>
              <w:t>Конечный период</w:t>
            </w:r>
          </w:p>
        </w:tc>
        <w:tc>
          <w:tcPr>
            <w:tcW w:w="260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sz w:val="24"/>
                <w:szCs w:val="24"/>
              </w:rPr>
            </w:pPr>
            <w:r>
              <w:rPr>
                <w:sz w:val="24"/>
                <w:szCs w:val="24"/>
              </w:rPr>
              <w:t>Ответственные</w:t>
            </w:r>
          </w:p>
        </w:tc>
        <w:tc>
          <w:tcPr>
            <w:tcW w:w="464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sz w:val="24"/>
                <w:szCs w:val="24"/>
              </w:rPr>
            </w:pPr>
            <w:r>
              <w:rPr>
                <w:sz w:val="24"/>
                <w:szCs w:val="24"/>
              </w:rPr>
              <w:t>Ожидаемый результат</w:t>
            </w:r>
          </w:p>
        </w:tc>
      </w:tr>
      <w:tr>
        <w:trPr/>
        <w:tc>
          <w:tcPr>
            <w:tcW w:w="14850" w:type="dxa"/>
            <w:gridSpan w:val="6"/>
            <w:tcBorders>
              <w:top w:val="single" w:sz="4" w:space="0" w:color="000000"/>
              <w:left w:val="single" w:sz="4" w:space="0" w:color="000000"/>
              <w:bottom w:val="single" w:sz="4" w:space="0" w:color="000000"/>
              <w:right w:val="single" w:sz="4" w:space="0" w:color="000000"/>
            </w:tcBorders>
          </w:tcPr>
          <w:p>
            <w:pPr>
              <w:pStyle w:val="Normal"/>
              <w:widowControl w:val="false"/>
              <w:jc w:val="both"/>
              <w:rPr>
                <w:b/>
                <w:b/>
                <w:bCs/>
                <w:kern w:val="2"/>
                <w:sz w:val="24"/>
                <w:szCs w:val="24"/>
                <w:lang w:eastAsia="ar-SA"/>
              </w:rPr>
            </w:pPr>
            <w:r>
              <w:rPr>
                <w:b/>
                <w:bCs/>
                <w:kern w:val="2"/>
                <w:sz w:val="24"/>
                <w:szCs w:val="24"/>
                <w:lang w:eastAsia="ar-SA"/>
              </w:rPr>
              <w:t>1. Мотивирование граждан к ведению здорового образа жизни посредством проведения информационно-коммуникационной кампании, а также вовлечения граждан и некоммерческих организаций в мероприятия по укреплению общественного здоровья</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1.1</w:t>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center"/>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kern w:val="2"/>
                <w:sz w:val="24"/>
                <w:szCs w:val="24"/>
                <w:lang w:eastAsia="ar-SA"/>
              </w:rPr>
              <w:t xml:space="preserve">Организация и проведение массовых акций и мероприятий по пропаганде здорового образа жизни, </w:t>
            </w:r>
            <w:r>
              <w:rPr>
                <w:sz w:val="24"/>
                <w:szCs w:val="24"/>
              </w:rPr>
              <w:t>повышению уровня информированности населения, раннему выявлению хронических неинфекционных заболеваний.</w:t>
            </w:r>
          </w:p>
          <w:p>
            <w:pPr>
              <w:pStyle w:val="Normal"/>
              <w:widowControl w:val="false"/>
              <w:jc w:val="both"/>
              <w:rPr>
                <w:b/>
                <w:b/>
                <w:bCs/>
                <w:kern w:val="2"/>
                <w:sz w:val="24"/>
                <w:szCs w:val="24"/>
                <w:lang w:eastAsia="ar-SA"/>
              </w:rPr>
            </w:pPr>
            <w:r>
              <w:rPr>
                <w:b/>
                <w:bCs/>
                <w:kern w:val="2"/>
                <w:sz w:val="24"/>
                <w:szCs w:val="24"/>
                <w:lang w:eastAsia="ar-SA"/>
              </w:rPr>
              <w:t>Акции:</w:t>
            </w:r>
          </w:p>
          <w:p>
            <w:pPr>
              <w:pStyle w:val="Normal"/>
              <w:widowControl w:val="false"/>
              <w:jc w:val="both"/>
              <w:rPr/>
            </w:pPr>
            <w:r>
              <w:rPr>
                <w:b/>
                <w:bCs/>
                <w:kern w:val="2"/>
                <w:sz w:val="24"/>
                <w:szCs w:val="24"/>
                <w:lang w:eastAsia="ar-SA"/>
              </w:rPr>
              <w:t>- 7 апреля</w:t>
            </w:r>
            <w:r>
              <w:rPr>
                <w:kern w:val="2"/>
                <w:sz w:val="24"/>
                <w:szCs w:val="24"/>
                <w:lang w:eastAsia="ar-SA"/>
              </w:rPr>
              <w:t xml:space="preserve"> – Всемирный день здоровья;</w:t>
            </w:r>
          </w:p>
          <w:p>
            <w:pPr>
              <w:pStyle w:val="Normal"/>
              <w:widowControl w:val="false"/>
              <w:jc w:val="both"/>
              <w:rPr/>
            </w:pPr>
            <w:r>
              <w:rPr>
                <w:b/>
                <w:bCs/>
                <w:kern w:val="2"/>
                <w:sz w:val="24"/>
                <w:szCs w:val="24"/>
                <w:lang w:eastAsia="ar-SA"/>
              </w:rPr>
              <w:t>- 1 июня - 31 августа</w:t>
            </w:r>
            <w:r>
              <w:rPr>
                <w:kern w:val="2"/>
                <w:sz w:val="24"/>
                <w:szCs w:val="24"/>
                <w:lang w:eastAsia="ar-SA"/>
              </w:rPr>
              <w:t xml:space="preserve"> – проект «Кузбасское лето»;</w:t>
            </w:r>
          </w:p>
          <w:p>
            <w:pPr>
              <w:pStyle w:val="Normal"/>
              <w:widowControl w:val="false"/>
              <w:jc w:val="both"/>
              <w:rPr/>
            </w:pPr>
            <w:r>
              <w:rPr>
                <w:sz w:val="24"/>
                <w:szCs w:val="24"/>
              </w:rPr>
              <w:t xml:space="preserve">- </w:t>
            </w:r>
            <w:r>
              <w:rPr>
                <w:b/>
                <w:bCs/>
                <w:sz w:val="24"/>
                <w:szCs w:val="24"/>
              </w:rPr>
              <w:t>4 февраля</w:t>
            </w:r>
            <w:r>
              <w:rPr>
                <w:sz w:val="24"/>
                <w:szCs w:val="24"/>
              </w:rPr>
              <w:t xml:space="preserve"> Всемирный День борьбы против рака; </w:t>
            </w:r>
          </w:p>
          <w:p>
            <w:pPr>
              <w:pStyle w:val="Normal"/>
              <w:widowControl w:val="false"/>
              <w:jc w:val="both"/>
              <w:rPr/>
            </w:pPr>
            <w:r>
              <w:rPr>
                <w:b/>
                <w:bCs/>
                <w:sz w:val="24"/>
                <w:szCs w:val="24"/>
              </w:rPr>
              <w:t>- 23–27 апреля</w:t>
            </w:r>
            <w:r>
              <w:rPr>
                <w:sz w:val="24"/>
                <w:szCs w:val="24"/>
              </w:rPr>
              <w:t xml:space="preserve"> (последняя неделя апреля) Европейская неделя иммунизации; </w:t>
            </w:r>
          </w:p>
          <w:p>
            <w:pPr>
              <w:pStyle w:val="Normal"/>
              <w:widowControl w:val="false"/>
              <w:jc w:val="both"/>
              <w:rPr/>
            </w:pPr>
            <w:r>
              <w:rPr>
                <w:sz w:val="24"/>
                <w:szCs w:val="24"/>
              </w:rPr>
              <w:t xml:space="preserve">- </w:t>
            </w:r>
            <w:r>
              <w:rPr>
                <w:b/>
                <w:bCs/>
                <w:sz w:val="24"/>
                <w:szCs w:val="24"/>
              </w:rPr>
              <w:t>31 мая</w:t>
            </w:r>
            <w:r>
              <w:rPr>
                <w:sz w:val="24"/>
                <w:szCs w:val="24"/>
              </w:rPr>
              <w:t xml:space="preserve"> Всемирный день без табачного дыма; </w:t>
            </w:r>
          </w:p>
          <w:p>
            <w:pPr>
              <w:pStyle w:val="Normal"/>
              <w:widowControl w:val="false"/>
              <w:jc w:val="both"/>
              <w:rPr/>
            </w:pPr>
            <w:r>
              <w:rPr>
                <w:sz w:val="24"/>
                <w:szCs w:val="24"/>
              </w:rPr>
              <w:t xml:space="preserve">- </w:t>
            </w:r>
            <w:r>
              <w:rPr>
                <w:b/>
                <w:bCs/>
                <w:sz w:val="24"/>
                <w:szCs w:val="24"/>
              </w:rPr>
              <w:t>2 июня</w:t>
            </w:r>
            <w:r>
              <w:rPr>
                <w:kern w:val="2"/>
                <w:sz w:val="24"/>
                <w:szCs w:val="24"/>
                <w:lang w:eastAsia="ar-SA"/>
              </w:rPr>
              <w:t xml:space="preserve"> </w:t>
            </w:r>
            <w:r>
              <w:rPr>
                <w:sz w:val="24"/>
                <w:szCs w:val="24"/>
              </w:rPr>
              <w:t xml:space="preserve">Всемирный День борьбы против рака; </w:t>
            </w:r>
          </w:p>
          <w:p>
            <w:pPr>
              <w:pStyle w:val="Normal"/>
              <w:widowControl w:val="false"/>
              <w:jc w:val="both"/>
              <w:rPr/>
            </w:pPr>
            <w:r>
              <w:rPr>
                <w:sz w:val="24"/>
                <w:szCs w:val="24"/>
              </w:rPr>
              <w:t xml:space="preserve">- </w:t>
            </w:r>
            <w:r>
              <w:rPr>
                <w:b/>
                <w:bCs/>
                <w:sz w:val="24"/>
                <w:szCs w:val="24"/>
              </w:rPr>
              <w:t>23–27 апреля</w:t>
            </w:r>
            <w:r>
              <w:rPr>
                <w:sz w:val="24"/>
                <w:szCs w:val="24"/>
              </w:rPr>
              <w:t xml:space="preserve"> (последняя неделя апреля) Европейская неделя иммунизации; </w:t>
            </w:r>
          </w:p>
          <w:p>
            <w:pPr>
              <w:pStyle w:val="Normal"/>
              <w:widowControl w:val="false"/>
              <w:jc w:val="both"/>
              <w:rPr/>
            </w:pPr>
            <w:r>
              <w:rPr>
                <w:sz w:val="24"/>
                <w:szCs w:val="24"/>
              </w:rPr>
              <w:t xml:space="preserve">- </w:t>
            </w:r>
            <w:r>
              <w:rPr>
                <w:b/>
                <w:bCs/>
                <w:sz w:val="24"/>
                <w:szCs w:val="24"/>
              </w:rPr>
              <w:t>31 мая</w:t>
            </w:r>
            <w:r>
              <w:rPr>
                <w:sz w:val="24"/>
                <w:szCs w:val="24"/>
              </w:rPr>
              <w:t xml:space="preserve"> Всемирный день без табачного дыма; </w:t>
            </w:r>
          </w:p>
          <w:p>
            <w:pPr>
              <w:pStyle w:val="Normal"/>
              <w:widowControl w:val="false"/>
              <w:jc w:val="both"/>
              <w:rPr/>
            </w:pPr>
            <w:r>
              <w:rPr>
                <w:sz w:val="24"/>
                <w:szCs w:val="24"/>
              </w:rPr>
              <w:t xml:space="preserve">- </w:t>
            </w:r>
            <w:r>
              <w:rPr>
                <w:b/>
                <w:bCs/>
                <w:sz w:val="24"/>
                <w:szCs w:val="24"/>
              </w:rPr>
              <w:t>2 июня</w:t>
            </w:r>
            <w:r>
              <w:rPr>
                <w:sz w:val="24"/>
                <w:szCs w:val="24"/>
              </w:rPr>
              <w:t xml:space="preserve"> День здорового питания в России; </w:t>
            </w:r>
          </w:p>
          <w:p>
            <w:pPr>
              <w:pStyle w:val="Normal"/>
              <w:widowControl w:val="false"/>
              <w:jc w:val="both"/>
              <w:rPr/>
            </w:pPr>
            <w:r>
              <w:rPr>
                <w:sz w:val="24"/>
                <w:szCs w:val="24"/>
              </w:rPr>
              <w:t xml:space="preserve">- </w:t>
            </w:r>
            <w:r>
              <w:rPr>
                <w:b/>
                <w:bCs/>
                <w:sz w:val="24"/>
                <w:szCs w:val="24"/>
              </w:rPr>
              <w:t xml:space="preserve">1-7 августа </w:t>
            </w:r>
            <w:r>
              <w:rPr>
                <w:sz w:val="24"/>
                <w:szCs w:val="24"/>
              </w:rPr>
              <w:t xml:space="preserve">- Всемирная неделя поощрения и поддержки грудного вскармливания; </w:t>
            </w:r>
          </w:p>
          <w:p>
            <w:pPr>
              <w:pStyle w:val="Normal"/>
              <w:widowControl w:val="false"/>
              <w:jc w:val="both"/>
              <w:rPr/>
            </w:pPr>
            <w:r>
              <w:rPr>
                <w:sz w:val="24"/>
                <w:szCs w:val="24"/>
              </w:rPr>
              <w:t xml:space="preserve">- </w:t>
            </w:r>
            <w:r>
              <w:rPr>
                <w:b/>
                <w:bCs/>
                <w:sz w:val="24"/>
                <w:szCs w:val="24"/>
              </w:rPr>
              <w:t>12 августа</w:t>
            </w:r>
            <w:r>
              <w:rPr>
                <w:sz w:val="24"/>
                <w:szCs w:val="24"/>
              </w:rPr>
              <w:t xml:space="preserve"> (вторая суббота августа) Всероссийский День физкультурника; </w:t>
            </w:r>
          </w:p>
          <w:p>
            <w:pPr>
              <w:pStyle w:val="Normal"/>
              <w:widowControl w:val="false"/>
              <w:jc w:val="both"/>
              <w:rPr/>
            </w:pPr>
            <w:r>
              <w:rPr>
                <w:sz w:val="24"/>
                <w:szCs w:val="24"/>
              </w:rPr>
              <w:t xml:space="preserve">- </w:t>
            </w:r>
            <w:r>
              <w:rPr>
                <w:b/>
                <w:bCs/>
                <w:sz w:val="24"/>
                <w:szCs w:val="24"/>
              </w:rPr>
              <w:t>11 сентября</w:t>
            </w:r>
            <w:r>
              <w:rPr>
                <w:sz w:val="24"/>
                <w:szCs w:val="24"/>
              </w:rPr>
              <w:t xml:space="preserve"> Всероссийский день трезвости; </w:t>
            </w:r>
          </w:p>
          <w:p>
            <w:pPr>
              <w:pStyle w:val="Normal"/>
              <w:widowControl w:val="false"/>
              <w:jc w:val="both"/>
              <w:rPr/>
            </w:pPr>
            <w:r>
              <w:rPr>
                <w:sz w:val="24"/>
                <w:szCs w:val="24"/>
              </w:rPr>
              <w:t xml:space="preserve">- </w:t>
            </w:r>
            <w:r>
              <w:rPr>
                <w:b/>
                <w:bCs/>
                <w:sz w:val="24"/>
                <w:szCs w:val="24"/>
              </w:rPr>
              <w:t>30 сентября</w:t>
            </w:r>
            <w:r>
              <w:rPr>
                <w:sz w:val="24"/>
                <w:szCs w:val="24"/>
              </w:rPr>
              <w:t xml:space="preserve"> (последнее воскресенье сентября) Всемирный день здорового сердца; </w:t>
            </w:r>
          </w:p>
          <w:p>
            <w:pPr>
              <w:pStyle w:val="Normal"/>
              <w:widowControl w:val="false"/>
              <w:jc w:val="both"/>
              <w:rPr/>
            </w:pPr>
            <w:r>
              <w:rPr>
                <w:sz w:val="24"/>
                <w:szCs w:val="24"/>
              </w:rPr>
              <w:t xml:space="preserve">- </w:t>
            </w:r>
            <w:r>
              <w:rPr>
                <w:b/>
                <w:bCs/>
                <w:sz w:val="24"/>
                <w:szCs w:val="24"/>
              </w:rPr>
              <w:t>29 октября</w:t>
            </w:r>
            <w:r>
              <w:rPr>
                <w:sz w:val="24"/>
                <w:szCs w:val="24"/>
              </w:rPr>
              <w:t xml:space="preserve">   Всемирный день борьбы с инсультом; </w:t>
            </w:r>
          </w:p>
          <w:p>
            <w:pPr>
              <w:pStyle w:val="Normal"/>
              <w:widowControl w:val="false"/>
              <w:jc w:val="both"/>
              <w:rPr/>
            </w:pPr>
            <w:r>
              <w:rPr>
                <w:sz w:val="24"/>
                <w:szCs w:val="24"/>
              </w:rPr>
              <w:t xml:space="preserve">- </w:t>
            </w:r>
            <w:r>
              <w:rPr>
                <w:b/>
                <w:bCs/>
                <w:sz w:val="24"/>
                <w:szCs w:val="24"/>
              </w:rPr>
              <w:t>14 ноября</w:t>
            </w:r>
            <w:r>
              <w:rPr>
                <w:sz w:val="24"/>
                <w:szCs w:val="24"/>
              </w:rPr>
              <w:t xml:space="preserve"> Всемирный день борьбы с диабетом);</w:t>
            </w:r>
          </w:p>
          <w:p>
            <w:pPr>
              <w:pStyle w:val="Normal"/>
              <w:widowControl w:val="false"/>
              <w:jc w:val="both"/>
              <w:rPr>
                <w:sz w:val="24"/>
                <w:szCs w:val="24"/>
              </w:rPr>
            </w:pPr>
            <w:r>
              <w:rPr>
                <w:sz w:val="24"/>
                <w:szCs w:val="24"/>
              </w:rPr>
              <w:t xml:space="preserve">- «Мы выбираем здоровый образ жизни»; </w:t>
            </w:r>
          </w:p>
          <w:p>
            <w:pPr>
              <w:pStyle w:val="Normal"/>
              <w:widowControl w:val="false"/>
              <w:jc w:val="both"/>
              <w:rPr>
                <w:sz w:val="24"/>
                <w:szCs w:val="24"/>
              </w:rPr>
            </w:pPr>
            <w:r>
              <w:rPr>
                <w:sz w:val="24"/>
                <w:szCs w:val="24"/>
              </w:rPr>
              <w:t>- «Подари жизнь»;</w:t>
            </w:r>
          </w:p>
          <w:p>
            <w:pPr>
              <w:pStyle w:val="Normal"/>
              <w:widowControl w:val="false"/>
              <w:jc w:val="both"/>
              <w:rPr>
                <w:sz w:val="24"/>
                <w:szCs w:val="24"/>
              </w:rPr>
            </w:pPr>
            <w:r>
              <w:rPr>
                <w:sz w:val="24"/>
                <w:szCs w:val="24"/>
              </w:rPr>
              <w:t>- «Здоровый ребенок»</w:t>
            </w:r>
          </w:p>
          <w:p>
            <w:pPr>
              <w:pStyle w:val="Normal"/>
              <w:widowControl w:val="false"/>
              <w:jc w:val="both"/>
              <w:rPr>
                <w:b/>
                <w:b/>
                <w:bCs/>
                <w:kern w:val="2"/>
                <w:sz w:val="24"/>
                <w:szCs w:val="24"/>
                <w:lang w:eastAsia="ar-SA"/>
              </w:rPr>
            </w:pPr>
            <w:r>
              <w:rPr>
                <w:b/>
                <w:bCs/>
                <w:kern w:val="2"/>
                <w:sz w:val="24"/>
                <w:szCs w:val="24"/>
                <w:lang w:eastAsia="ar-SA"/>
              </w:rPr>
              <w:t>Конкурсы:</w:t>
            </w:r>
          </w:p>
          <w:p>
            <w:pPr>
              <w:pStyle w:val="Normal"/>
              <w:widowControl w:val="false"/>
              <w:jc w:val="both"/>
              <w:rPr/>
            </w:pPr>
            <w:r>
              <w:rPr>
                <w:kern w:val="2"/>
                <w:sz w:val="24"/>
                <w:szCs w:val="24"/>
                <w:lang w:eastAsia="ar-SA"/>
              </w:rPr>
              <w:t xml:space="preserve">- </w:t>
            </w:r>
            <w:r>
              <w:rPr>
                <w:b/>
                <w:bCs/>
                <w:sz w:val="24"/>
                <w:szCs w:val="24"/>
              </w:rPr>
              <w:t>«</w:t>
            </w:r>
            <w:r>
              <w:rPr>
                <w:sz w:val="24"/>
                <w:szCs w:val="24"/>
              </w:rPr>
              <w:t>Школа-территория здоровья» (март-апрель).</w:t>
            </w:r>
          </w:p>
          <w:p>
            <w:pPr>
              <w:pStyle w:val="Normal"/>
              <w:widowControl w:val="false"/>
              <w:jc w:val="both"/>
              <w:rPr/>
            </w:pPr>
            <w:r>
              <w:rPr>
                <w:sz w:val="24"/>
                <w:szCs w:val="24"/>
              </w:rPr>
              <w:t>- «Самый здоровый класс</w:t>
            </w:r>
            <w:r>
              <w:rPr>
                <w:b/>
                <w:bCs/>
                <w:sz w:val="24"/>
                <w:szCs w:val="24"/>
              </w:rPr>
              <w:t>»</w:t>
            </w:r>
            <w:r>
              <w:rPr>
                <w:sz w:val="24"/>
                <w:szCs w:val="24"/>
              </w:rPr>
              <w:t xml:space="preserve"> (апрель-май).</w:t>
            </w:r>
          </w:p>
          <w:p>
            <w:pPr>
              <w:pStyle w:val="Normal"/>
              <w:widowControl w:val="false"/>
              <w:jc w:val="both"/>
              <w:rPr>
                <w:b/>
                <w:b/>
                <w:bCs/>
                <w:sz w:val="24"/>
                <w:szCs w:val="24"/>
              </w:rPr>
            </w:pPr>
            <w:r>
              <w:rPr>
                <w:b/>
                <w:bCs/>
                <w:sz w:val="24"/>
                <w:szCs w:val="24"/>
              </w:rPr>
              <w:t>Фестивали:</w:t>
            </w:r>
          </w:p>
          <w:p>
            <w:pPr>
              <w:pStyle w:val="Normal"/>
              <w:widowControl w:val="false"/>
              <w:jc w:val="both"/>
              <w:rPr>
                <w:sz w:val="24"/>
                <w:szCs w:val="24"/>
              </w:rPr>
            </w:pPr>
            <w:r>
              <w:rPr>
                <w:sz w:val="24"/>
                <w:szCs w:val="24"/>
              </w:rPr>
              <w:t>- Педагогический турслет (октябрь).</w:t>
            </w:r>
          </w:p>
          <w:p>
            <w:pPr>
              <w:pStyle w:val="Normal"/>
              <w:widowControl w:val="false"/>
              <w:jc w:val="both"/>
              <w:rPr>
                <w:sz w:val="24"/>
                <w:szCs w:val="24"/>
              </w:rPr>
            </w:pPr>
            <w:r>
              <w:rPr>
                <w:sz w:val="24"/>
                <w:szCs w:val="24"/>
              </w:rPr>
              <w:t>- фестиваль ОО «Здоровое будущее» (октябрь-ноябрь).</w:t>
            </w:r>
          </w:p>
          <w:p>
            <w:pPr>
              <w:pStyle w:val="NoSpacing"/>
              <w:jc w:val="both"/>
              <w:rPr>
                <w:rFonts w:ascii="Times New Roman" w:hAnsi="Times New Roman" w:cs="Times New Roman"/>
                <w:sz w:val="24"/>
                <w:szCs w:val="24"/>
              </w:rPr>
            </w:pPr>
            <w:r>
              <w:rPr>
                <w:rFonts w:cs="Times New Roman" w:ascii="Times New Roman" w:hAnsi="Times New Roman"/>
                <w:sz w:val="24"/>
                <w:szCs w:val="24"/>
              </w:rPr>
              <w:t>- «Молодецкие игры – в здоровом теле здоровый дух», спортивные соревнования (февраль)</w:t>
            </w:r>
          </w:p>
          <w:p>
            <w:pPr>
              <w:pStyle w:val="NoSpacing"/>
              <w:jc w:val="both"/>
              <w:rPr>
                <w:rFonts w:ascii="Times New Roman" w:hAnsi="Times New Roman" w:cs="Times New Roman"/>
                <w:sz w:val="24"/>
                <w:szCs w:val="24"/>
              </w:rPr>
            </w:pPr>
            <w:r>
              <w:rPr>
                <w:rFonts w:cs="Times New Roman" w:ascii="Times New Roman" w:hAnsi="Times New Roman"/>
                <w:sz w:val="24"/>
                <w:szCs w:val="24"/>
              </w:rPr>
              <w:t>- 7 апреля Всемирный день здоровья</w:t>
            </w:r>
          </w:p>
          <w:p>
            <w:pPr>
              <w:pStyle w:val="NoSpacing"/>
              <w:jc w:val="both"/>
              <w:rPr>
                <w:rFonts w:ascii="Times New Roman" w:hAnsi="Times New Roman" w:cs="Times New Roman"/>
                <w:sz w:val="24"/>
                <w:szCs w:val="24"/>
              </w:rPr>
            </w:pPr>
            <w:r>
              <w:rPr>
                <w:rFonts w:cs="Times New Roman" w:ascii="Times New Roman" w:hAnsi="Times New Roman"/>
                <w:sz w:val="24"/>
                <w:szCs w:val="24"/>
              </w:rPr>
              <w:t>-  встреча с чемпионом «Если хочешь быть здоров делай так» (апрель-май)</w:t>
            </w:r>
          </w:p>
          <w:p>
            <w:pPr>
              <w:pStyle w:val="NoSpacing"/>
              <w:jc w:val="both"/>
              <w:rPr>
                <w:rFonts w:ascii="Times New Roman" w:hAnsi="Times New Roman" w:cs="Times New Roman"/>
                <w:sz w:val="24"/>
                <w:szCs w:val="24"/>
              </w:rPr>
            </w:pPr>
            <w:r>
              <w:rPr>
                <w:rFonts w:cs="Times New Roman" w:ascii="Times New Roman" w:hAnsi="Times New Roman"/>
                <w:sz w:val="24"/>
                <w:szCs w:val="24"/>
              </w:rPr>
              <w:t>- День здорового питания (2 июня);</w:t>
            </w:r>
          </w:p>
          <w:p>
            <w:pPr>
              <w:pStyle w:val="NoSpacing"/>
              <w:rPr>
                <w:rFonts w:ascii="Times New Roman" w:hAnsi="Times New Roman" w:cs="Times New Roman"/>
                <w:sz w:val="24"/>
                <w:szCs w:val="24"/>
              </w:rPr>
            </w:pPr>
            <w:r>
              <w:rPr>
                <w:rFonts w:cs="Times New Roman" w:ascii="Times New Roman" w:hAnsi="Times New Roman"/>
                <w:sz w:val="24"/>
                <w:szCs w:val="24"/>
              </w:rPr>
              <w:t>- Спортивная программа «Олимпийские гонки» (ноябрь)</w:t>
            </w:r>
          </w:p>
          <w:p>
            <w:pPr>
              <w:pStyle w:val="Normal"/>
              <w:widowControl w:val="false"/>
              <w:jc w:val="both"/>
              <w:rPr>
                <w:sz w:val="24"/>
                <w:szCs w:val="24"/>
              </w:rPr>
            </w:pPr>
            <w:r>
              <w:rPr>
                <w:sz w:val="24"/>
                <w:szCs w:val="24"/>
              </w:rPr>
              <w:t>- Марафон «Папа, мама, я – здоровая семья» (декабрь)</w:t>
            </w:r>
          </w:p>
        </w:tc>
        <w:tc>
          <w:tcPr>
            <w:tcW w:w="137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kern w:val="2"/>
                <w:sz w:val="24"/>
                <w:szCs w:val="24"/>
                <w:shd w:fill="FFFFFF" w:val="clear"/>
                <w:lang w:eastAsia="ar-SA"/>
              </w:rPr>
              <w:t xml:space="preserve">Управление образования </w:t>
            </w:r>
            <w:r>
              <w:rPr>
                <w:sz w:val="24"/>
                <w:szCs w:val="24"/>
                <w:shd w:fill="FFFFFF" w:val="clear"/>
              </w:rPr>
              <w:t>администрации Топкинского муниципального округа;</w:t>
            </w:r>
          </w:p>
          <w:p>
            <w:pPr>
              <w:pStyle w:val="1"/>
              <w:shd w:fill="FFFFFF" w:val="clear"/>
              <w:jc w:val="both"/>
              <w:rPr/>
            </w:pPr>
            <w:r>
              <w:rPr>
                <w:b w:val="false"/>
                <w:bCs/>
                <w:color w:val="000026"/>
                <w:sz w:val="24"/>
                <w:szCs w:val="24"/>
              </w:rPr>
              <w:t>Управление культуры, спорта и молодёжной политики</w:t>
            </w:r>
            <w:r>
              <w:rPr>
                <w:b w:val="false"/>
                <w:bCs/>
                <w:sz w:val="24"/>
                <w:szCs w:val="24"/>
              </w:rPr>
              <w:t xml:space="preserve"> администрации Топкинского муниципального округа;</w:t>
            </w:r>
          </w:p>
          <w:p>
            <w:pPr>
              <w:pStyle w:val="1"/>
              <w:shd w:fill="FFFFFF" w:val="clear"/>
              <w:jc w:val="both"/>
              <w:rPr/>
            </w:pPr>
            <w:r>
              <w:rPr>
                <w:b w:val="false"/>
                <w:bCs/>
                <w:color w:val="000026"/>
                <w:sz w:val="24"/>
                <w:szCs w:val="24"/>
              </w:rPr>
              <w:t>Комитет социальной защиты населения администрации</w:t>
            </w:r>
            <w:r>
              <w:rPr>
                <w:b w:val="false"/>
                <w:bCs/>
                <w:sz w:val="24"/>
                <w:szCs w:val="24"/>
              </w:rPr>
              <w:t xml:space="preserve"> Топкинского муниципального округа;</w:t>
            </w:r>
          </w:p>
          <w:p>
            <w:pPr>
              <w:pStyle w:val="Normal"/>
              <w:spacing w:lineRule="atLeast" w:line="200"/>
              <w:jc w:val="both"/>
              <w:rPr>
                <w:sz w:val="24"/>
                <w:szCs w:val="24"/>
              </w:rPr>
            </w:pPr>
            <w:r>
              <w:rPr>
                <w:sz w:val="24"/>
                <w:szCs w:val="24"/>
              </w:rPr>
              <w:t>ТФ ГАУЗ ККГВВ (по согласованию);</w:t>
            </w:r>
          </w:p>
          <w:p>
            <w:pPr>
              <w:pStyle w:val="Normal"/>
              <w:widowControl w:val="false"/>
              <w:jc w:val="both"/>
              <w:rPr>
                <w:sz w:val="24"/>
                <w:szCs w:val="24"/>
              </w:rPr>
            </w:pPr>
            <w:r>
              <w:rPr>
                <w:sz w:val="24"/>
                <w:szCs w:val="24"/>
              </w:rPr>
              <w:t>Волонтеры (ветераны, молодежь)</w:t>
            </w:r>
          </w:p>
        </w:tc>
        <w:tc>
          <w:tcPr>
            <w:tcW w:w="464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kern w:val="2"/>
                <w:sz w:val="24"/>
                <w:szCs w:val="24"/>
                <w:lang w:eastAsia="ar-SA"/>
              </w:rPr>
              <w:t>Проведение массовых мероприятий для населения</w:t>
            </w:r>
            <w:r>
              <w:rPr>
                <w:sz w:val="24"/>
                <w:szCs w:val="24"/>
              </w:rPr>
              <w:t xml:space="preserve"> (акции, спортивные эстафеты, флешмобы и т.п.) </w:t>
            </w:r>
            <w:r>
              <w:rPr>
                <w:kern w:val="2"/>
                <w:sz w:val="24"/>
                <w:szCs w:val="24"/>
                <w:lang w:eastAsia="ar-SA"/>
              </w:rPr>
              <w:t xml:space="preserve"> с привлечением волонтеров</w:t>
            </w:r>
            <w:r>
              <w:rPr>
                <w:sz w:val="24"/>
                <w:szCs w:val="24"/>
              </w:rPr>
              <w:t xml:space="preserve"> и некоммерческих организаций</w:t>
            </w:r>
            <w:r>
              <w:rPr>
                <w:kern w:val="2"/>
                <w:sz w:val="24"/>
                <w:szCs w:val="24"/>
                <w:lang w:eastAsia="ar-SA"/>
              </w:rPr>
              <w:t>, направленных на пропаганду здорового образа жизни и формирование позитивного отношения к собственному здоровью.</w:t>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tc>
      </w:tr>
      <w:tr>
        <w:trPr>
          <w:trHeight w:val="6071" w:hRule="atLeast"/>
        </w:trPr>
        <w:tc>
          <w:tcPr>
            <w:tcW w:w="817" w:type="dxa"/>
            <w:tcBorders>
              <w:top w:val="single" w:sz="4" w:space="0" w:color="000000"/>
              <w:left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1.2</w:t>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tc>
        <w:tc>
          <w:tcPr>
            <w:tcW w:w="4111" w:type="dxa"/>
            <w:tcBorders>
              <w:top w:val="single" w:sz="4" w:space="0" w:color="000000"/>
              <w:left w:val="single" w:sz="4" w:space="0" w:color="000000"/>
              <w:right w:val="single" w:sz="4" w:space="0" w:color="000000"/>
            </w:tcBorders>
          </w:tcPr>
          <w:p>
            <w:pPr>
              <w:pStyle w:val="Normal"/>
              <w:jc w:val="both"/>
              <w:rPr/>
            </w:pPr>
            <w:r>
              <w:rPr>
                <w:kern w:val="2"/>
                <w:sz w:val="24"/>
                <w:szCs w:val="24"/>
                <w:lang w:eastAsia="ar-SA"/>
              </w:rPr>
              <w:t xml:space="preserve">Популяризация здорового образа жизни, физической культуры, спорта и здорового питания, отказа от вредных привычек посредством размещения в СМИ, сети «Интернет» на официальных сайтах и стендах учреждений, тематической информации, статей, новостных материалов, </w:t>
            </w:r>
            <w:r>
              <w:rPr>
                <w:sz w:val="24"/>
                <w:szCs w:val="24"/>
              </w:rPr>
              <w:t>видео - и аудиороликов</w:t>
            </w:r>
          </w:p>
          <w:p>
            <w:pPr>
              <w:pStyle w:val="Normal"/>
              <w:widowControl w:val="false"/>
              <w:jc w:val="both"/>
              <w:rPr>
                <w:kern w:val="2"/>
                <w:sz w:val="24"/>
                <w:szCs w:val="24"/>
                <w:lang w:eastAsia="ar-SA"/>
              </w:rPr>
            </w:pPr>
            <w:r>
              <w:rPr>
                <w:kern w:val="2"/>
                <w:sz w:val="24"/>
                <w:szCs w:val="24"/>
                <w:lang w:eastAsia="ar-SA"/>
              </w:rPr>
            </w:r>
          </w:p>
        </w:tc>
        <w:tc>
          <w:tcPr>
            <w:tcW w:w="1371" w:type="dxa"/>
            <w:tcBorders>
              <w:top w:val="single" w:sz="4" w:space="0" w:color="000000"/>
              <w:left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01.01.2025</w:t>
            </w:r>
          </w:p>
          <w:p>
            <w:pPr>
              <w:pStyle w:val="Normal"/>
              <w:widowControl w:val="false"/>
              <w:jc w:val="both"/>
              <w:rPr/>
            </w:pPr>
            <w:r>
              <w:rPr/>
            </w:r>
          </w:p>
        </w:tc>
        <w:tc>
          <w:tcPr>
            <w:tcW w:w="1296" w:type="dxa"/>
            <w:tcBorders>
              <w:top w:val="single" w:sz="4" w:space="0" w:color="000000"/>
              <w:left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15.12.2028</w:t>
            </w:r>
          </w:p>
        </w:tc>
        <w:tc>
          <w:tcPr>
            <w:tcW w:w="2607" w:type="dxa"/>
            <w:tcBorders>
              <w:top w:val="single" w:sz="4" w:space="0" w:color="000000"/>
              <w:left w:val="single" w:sz="4" w:space="0" w:color="000000"/>
              <w:right w:val="single" w:sz="4" w:space="0" w:color="000000"/>
            </w:tcBorders>
          </w:tcPr>
          <w:p>
            <w:pPr>
              <w:pStyle w:val="Normal"/>
              <w:widowControl w:val="false"/>
              <w:jc w:val="both"/>
              <w:rPr/>
            </w:pPr>
            <w:r>
              <w:rPr>
                <w:kern w:val="2"/>
                <w:sz w:val="24"/>
                <w:szCs w:val="24"/>
                <w:lang w:eastAsia="ar-SA"/>
              </w:rPr>
              <w:t xml:space="preserve">Управление образования </w:t>
            </w:r>
            <w:r>
              <w:rPr>
                <w:sz w:val="24"/>
                <w:szCs w:val="24"/>
                <w:shd w:fill="FFFFFF" w:val="clear"/>
              </w:rPr>
              <w:t>администрации Топкинского муниципального округа;</w:t>
            </w:r>
          </w:p>
          <w:p>
            <w:pPr>
              <w:pStyle w:val="Normal"/>
              <w:widowControl w:val="false"/>
              <w:jc w:val="both"/>
              <w:rPr>
                <w:sz w:val="24"/>
                <w:szCs w:val="24"/>
                <w:shd w:fill="FFFFFF" w:val="clear"/>
              </w:rPr>
            </w:pPr>
            <w:r>
              <w:rPr>
                <w:sz w:val="24"/>
                <w:szCs w:val="24"/>
                <w:shd w:fill="FFFFFF" w:val="clear"/>
              </w:rPr>
              <w:t>Управление культуры, спорта и молодежной политики администрации Топкинского муниципального округа;</w:t>
            </w:r>
          </w:p>
          <w:p>
            <w:pPr>
              <w:pStyle w:val="Normal"/>
              <w:rPr>
                <w:sz w:val="24"/>
                <w:szCs w:val="24"/>
              </w:rPr>
            </w:pPr>
            <w:r>
              <w:rPr>
                <w:sz w:val="24"/>
                <w:szCs w:val="24"/>
              </w:rPr>
              <w:t>Комитет социальной защиты населения  администрации Топкинского муниципального округа;</w:t>
            </w:r>
          </w:p>
          <w:p>
            <w:pPr>
              <w:pStyle w:val="Normal"/>
              <w:spacing w:lineRule="atLeast" w:line="200"/>
              <w:jc w:val="both"/>
              <w:rPr>
                <w:sz w:val="24"/>
                <w:szCs w:val="24"/>
              </w:rPr>
            </w:pPr>
            <w:r>
              <w:rPr>
                <w:sz w:val="24"/>
                <w:szCs w:val="24"/>
              </w:rPr>
              <w:t>ТФ ГАУЗ ККГВВ (по согласованию)</w:t>
            </w:r>
          </w:p>
        </w:tc>
        <w:tc>
          <w:tcPr>
            <w:tcW w:w="4648" w:type="dxa"/>
            <w:tcBorders>
              <w:top w:val="single" w:sz="4" w:space="0" w:color="000000"/>
              <w:left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Информационно-коммуникационной кампанией по пропаганде ЗОЖ охвачено не менее 75% населения старше 12 лет, посредством размещения в СМИ, сети «Интернет» на официальных сайтах и стендах учреждений информации по здоровому образу жизни и укреплению здоровья.</w:t>
            </w:r>
          </w:p>
          <w:p>
            <w:pPr>
              <w:pStyle w:val="Normal"/>
              <w:rPr/>
            </w:pPr>
            <w:r>
              <w:rPr/>
            </w:r>
          </w:p>
        </w:tc>
      </w:tr>
      <w:tr>
        <w:trPr>
          <w:trHeight w:val="1114" w:hRule="atLeast"/>
        </w:trPr>
        <w:tc>
          <w:tcPr>
            <w:tcW w:w="81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bCs/>
                <w:kern w:val="2"/>
                <w:sz w:val="24"/>
                <w:szCs w:val="24"/>
                <w:lang w:eastAsia="ar-SA"/>
              </w:rPr>
            </w:pPr>
            <w:r>
              <w:rPr>
                <w:bCs/>
                <w:kern w:val="2"/>
                <w:sz w:val="24"/>
                <w:szCs w:val="24"/>
                <w:lang w:eastAsia="ar-SA"/>
              </w:rPr>
              <w:t>1.3</w:t>
            </w:r>
          </w:p>
        </w:tc>
        <w:tc>
          <w:tcPr>
            <w:tcW w:w="4111" w:type="dxa"/>
            <w:tcBorders>
              <w:top w:val="single" w:sz="4" w:space="0" w:color="000000"/>
              <w:left w:val="single" w:sz="4" w:space="0" w:color="000000"/>
              <w:right w:val="single" w:sz="4" w:space="0" w:color="000000"/>
            </w:tcBorders>
          </w:tcPr>
          <w:p>
            <w:pPr>
              <w:pStyle w:val="Normal"/>
              <w:widowControl w:val="false"/>
              <w:jc w:val="both"/>
              <w:rPr>
                <w:color w:val="000000"/>
                <w:sz w:val="24"/>
                <w:szCs w:val="24"/>
              </w:rPr>
            </w:pPr>
            <w:r>
              <w:rPr>
                <w:color w:val="000000"/>
                <w:sz w:val="24"/>
                <w:szCs w:val="24"/>
              </w:rPr>
              <w:t>Проведение Марафона здоровья: увеличение охвата населения района диспансеризацией и профилактическими осмотрами, вакцинацией</w:t>
            </w:r>
          </w:p>
        </w:tc>
        <w:tc>
          <w:tcPr>
            <w:tcW w:w="1371" w:type="dxa"/>
            <w:tcBorders>
              <w:top w:val="single" w:sz="4" w:space="0" w:color="000000"/>
              <w:left w:val="single" w:sz="4" w:space="0" w:color="000000"/>
              <w:right w:val="single" w:sz="4" w:space="0" w:color="000000"/>
            </w:tcBorders>
          </w:tcPr>
          <w:p>
            <w:pPr>
              <w:pStyle w:val="Normal"/>
              <w:widowControl w:val="false"/>
              <w:jc w:val="both"/>
              <w:rPr>
                <w:color w:val="000000"/>
                <w:sz w:val="24"/>
                <w:szCs w:val="24"/>
              </w:rPr>
            </w:pPr>
            <w:r>
              <w:rPr>
                <w:color w:val="000000"/>
                <w:sz w:val="24"/>
                <w:szCs w:val="24"/>
              </w:rPr>
              <w:t>01.01.2025</w:t>
            </w:r>
          </w:p>
        </w:tc>
        <w:tc>
          <w:tcPr>
            <w:tcW w:w="1296" w:type="dxa"/>
            <w:tcBorders>
              <w:top w:val="single" w:sz="4" w:space="0" w:color="000000"/>
              <w:left w:val="single" w:sz="4" w:space="0" w:color="000000"/>
              <w:right w:val="single" w:sz="4" w:space="0" w:color="000000"/>
            </w:tcBorders>
          </w:tcPr>
          <w:p>
            <w:pPr>
              <w:pStyle w:val="Normal"/>
              <w:widowControl w:val="false"/>
              <w:jc w:val="both"/>
              <w:rPr>
                <w:color w:val="000000"/>
                <w:sz w:val="24"/>
                <w:szCs w:val="24"/>
              </w:rPr>
            </w:pPr>
            <w:r>
              <w:rPr>
                <w:color w:val="000000"/>
                <w:sz w:val="24"/>
                <w:szCs w:val="24"/>
              </w:rPr>
              <w:t>15.12.2028</w:t>
            </w:r>
          </w:p>
        </w:tc>
        <w:tc>
          <w:tcPr>
            <w:tcW w:w="2607" w:type="dxa"/>
            <w:tcBorders>
              <w:top w:val="single" w:sz="4" w:space="0" w:color="000000"/>
              <w:left w:val="single" w:sz="4" w:space="0" w:color="000000"/>
              <w:right w:val="single" w:sz="4" w:space="0" w:color="000000"/>
            </w:tcBorders>
          </w:tcPr>
          <w:p>
            <w:pPr>
              <w:pStyle w:val="Normal"/>
              <w:widowControl w:val="false"/>
              <w:jc w:val="both"/>
              <w:rPr/>
            </w:pPr>
            <w:r>
              <w:rPr>
                <w:color w:val="000000"/>
                <w:sz w:val="24"/>
                <w:szCs w:val="24"/>
              </w:rPr>
              <w:t xml:space="preserve">ТФ ГАУЗ ККГВВ </w:t>
            </w:r>
            <w:r>
              <w:rPr>
                <w:sz w:val="24"/>
                <w:szCs w:val="24"/>
              </w:rPr>
              <w:t>(по согласованию)</w:t>
            </w:r>
          </w:p>
        </w:tc>
        <w:tc>
          <w:tcPr>
            <w:tcW w:w="4648" w:type="dxa"/>
            <w:tcBorders>
              <w:top w:val="single" w:sz="4" w:space="0" w:color="000000"/>
              <w:left w:val="single" w:sz="4" w:space="0" w:color="000000"/>
              <w:right w:val="single" w:sz="4" w:space="0" w:color="000000"/>
            </w:tcBorders>
          </w:tcPr>
          <w:p>
            <w:pPr>
              <w:pStyle w:val="Normal"/>
              <w:widowControl w:val="false"/>
              <w:jc w:val="both"/>
              <w:rPr>
                <w:color w:val="000000"/>
                <w:sz w:val="24"/>
                <w:szCs w:val="24"/>
              </w:rPr>
            </w:pPr>
            <w:r>
              <w:rPr>
                <w:color w:val="000000"/>
                <w:sz w:val="24"/>
                <w:szCs w:val="24"/>
              </w:rPr>
              <w:t>Выполнение на 100% плановых показателей по диспансеризации и профилактическим осмотрам, 95 % охвата вакцинацией</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kern w:val="2"/>
                <w:sz w:val="24"/>
                <w:szCs w:val="24"/>
                <w:lang w:eastAsia="ar-SA"/>
              </w:rPr>
            </w:pPr>
            <w:r>
              <w:rPr>
                <w:kern w:val="2"/>
                <w:sz w:val="24"/>
                <w:szCs w:val="24"/>
                <w:lang w:eastAsia="ar-SA"/>
              </w:rPr>
              <w:t>1.4</w:t>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tLeast" w:line="100"/>
              <w:jc w:val="both"/>
              <w:rPr/>
            </w:pPr>
            <w:r>
              <w:rPr>
                <w:kern w:val="2"/>
                <w:sz w:val="24"/>
                <w:szCs w:val="24"/>
                <w:lang w:eastAsia="ar-SA"/>
              </w:rPr>
              <w:t xml:space="preserve">Размещение информационных аудио- и видеороликов о здоровом образе жизни на </w:t>
            </w:r>
            <w:r>
              <w:rPr>
                <w:sz w:val="24"/>
                <w:szCs w:val="24"/>
              </w:rPr>
              <w:t>телеэкранах, мониторах, светодиодных</w:t>
            </w:r>
            <w:r>
              <w:rPr>
                <w:kern w:val="2"/>
                <w:sz w:val="24"/>
                <w:szCs w:val="24"/>
                <w:lang w:eastAsia="ar-SA"/>
              </w:rPr>
              <w:t xml:space="preserve"> экранах и т.п. </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Администрация Топкинского муниципального округа</w:t>
            </w:r>
          </w:p>
          <w:p>
            <w:pPr>
              <w:pStyle w:val="Normal"/>
              <w:jc w:val="both"/>
              <w:rPr>
                <w:color w:val="000000"/>
                <w:sz w:val="24"/>
                <w:szCs w:val="24"/>
                <w:shd w:fill="92D050" w:val="clear"/>
              </w:rPr>
            </w:pPr>
            <w:r>
              <w:rPr>
                <w:color w:val="000000"/>
                <w:sz w:val="24"/>
                <w:szCs w:val="24"/>
                <w:shd w:fill="92D050" w:val="clear"/>
              </w:rPr>
            </w:r>
          </w:p>
        </w:tc>
        <w:tc>
          <w:tcPr>
            <w:tcW w:w="4648" w:type="dxa"/>
            <w:tcBorders>
              <w:top w:val="single" w:sz="4" w:space="0" w:color="000000"/>
              <w:left w:val="single" w:sz="4" w:space="0" w:color="000000"/>
              <w:bottom w:val="single" w:sz="4" w:space="0" w:color="000000"/>
              <w:right w:val="single" w:sz="4" w:space="0" w:color="000000"/>
            </w:tcBorders>
          </w:tcPr>
          <w:p>
            <w:pPr>
              <w:pStyle w:val="Normal"/>
              <w:jc w:val="both"/>
              <w:rPr/>
            </w:pPr>
            <w:r>
              <w:rPr>
                <w:kern w:val="2"/>
                <w:sz w:val="24"/>
                <w:szCs w:val="24"/>
                <w:lang w:eastAsia="ar-SA"/>
              </w:rPr>
              <w:t xml:space="preserve">Размещение информационных </w:t>
            </w:r>
            <w:r>
              <w:rPr>
                <w:color w:val="000000"/>
                <w:kern w:val="2"/>
                <w:sz w:val="24"/>
                <w:szCs w:val="24"/>
                <w:lang w:eastAsia="ar-SA"/>
              </w:rPr>
              <w:t xml:space="preserve">аудио- и видеороликов </w:t>
            </w:r>
            <w:r>
              <w:rPr>
                <w:kern w:val="2"/>
                <w:sz w:val="24"/>
                <w:szCs w:val="24"/>
                <w:lang w:eastAsia="ar-SA"/>
              </w:rPr>
              <w:t xml:space="preserve">о здоровом образе жизни на </w:t>
            </w:r>
            <w:r>
              <w:rPr>
                <w:sz w:val="24"/>
                <w:szCs w:val="24"/>
              </w:rPr>
              <w:t>телеэкранах, мониторах, светодиодных</w:t>
            </w:r>
            <w:r>
              <w:rPr>
                <w:kern w:val="2"/>
                <w:sz w:val="24"/>
                <w:szCs w:val="24"/>
                <w:lang w:eastAsia="ar-SA"/>
              </w:rPr>
              <w:t xml:space="preserve"> экранах и т.п. </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kern w:val="2"/>
                <w:sz w:val="24"/>
                <w:szCs w:val="24"/>
                <w:lang w:eastAsia="ar-SA"/>
              </w:rPr>
            </w:pPr>
            <w:r>
              <w:rPr>
                <w:kern w:val="2"/>
                <w:sz w:val="24"/>
                <w:szCs w:val="24"/>
                <w:lang w:eastAsia="ar-SA"/>
              </w:rPr>
              <w:t>1.5</w:t>
            </w:r>
          </w:p>
        </w:tc>
        <w:tc>
          <w:tcPr>
            <w:tcW w:w="4111" w:type="dxa"/>
            <w:tcBorders>
              <w:left w:val="single" w:sz="4" w:space="0" w:color="000000"/>
              <w:bottom w:val="single" w:sz="4" w:space="0" w:color="000000"/>
            </w:tcBorders>
          </w:tcPr>
          <w:p>
            <w:pPr>
              <w:pStyle w:val="Normal"/>
              <w:widowControl w:val="false"/>
              <w:spacing w:lineRule="atLeast" w:line="100"/>
              <w:jc w:val="both"/>
              <w:rPr>
                <w:kern w:val="2"/>
                <w:sz w:val="24"/>
                <w:szCs w:val="24"/>
                <w:lang w:eastAsia="ar-SA"/>
              </w:rPr>
            </w:pPr>
            <w:r>
              <w:rPr>
                <w:kern w:val="2"/>
                <w:sz w:val="24"/>
                <w:szCs w:val="24"/>
                <w:lang w:eastAsia="ar-SA"/>
              </w:rPr>
              <w:t>Разработка и размещение наружной рекламы (баннеры, стенды, вывески, ростовые рекламы) на фасадах зданий, автозаправках, в общественном транспорте, в организациях (учреждениях)</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15.12.2028</w:t>
            </w:r>
          </w:p>
        </w:tc>
        <w:tc>
          <w:tcPr>
            <w:tcW w:w="2607" w:type="dxa"/>
            <w:tcBorders>
              <w:left w:val="single" w:sz="4" w:space="0" w:color="000000"/>
              <w:bottom w:val="single" w:sz="4" w:space="0" w:color="000000"/>
            </w:tcBorders>
          </w:tcPr>
          <w:p>
            <w:pPr>
              <w:pStyle w:val="Normal"/>
              <w:rPr>
                <w:sz w:val="24"/>
                <w:szCs w:val="24"/>
              </w:rPr>
            </w:pPr>
            <w:r>
              <w:rPr>
                <w:sz w:val="24"/>
                <w:szCs w:val="24"/>
              </w:rPr>
              <w:t>Администрация Топкинского муниципального округа;</w:t>
            </w:r>
          </w:p>
          <w:p>
            <w:pPr>
              <w:pStyle w:val="Normal"/>
              <w:rPr>
                <w:sz w:val="24"/>
                <w:szCs w:val="24"/>
              </w:rPr>
            </w:pPr>
            <w:r>
              <w:rPr>
                <w:sz w:val="24"/>
                <w:szCs w:val="24"/>
              </w:rPr>
              <w:t>ТФ ГАУЗ ККГВВ (по согласованию)</w:t>
            </w:r>
          </w:p>
          <w:p>
            <w:pPr>
              <w:pStyle w:val="Normal"/>
              <w:rPr>
                <w:sz w:val="24"/>
                <w:szCs w:val="24"/>
              </w:rPr>
            </w:pPr>
            <w:r>
              <w:rPr>
                <w:sz w:val="24"/>
                <w:szCs w:val="24"/>
              </w:rPr>
            </w:r>
          </w:p>
        </w:tc>
        <w:tc>
          <w:tcPr>
            <w:tcW w:w="4648" w:type="dxa"/>
            <w:tcBorders>
              <w:left w:val="single" w:sz="4" w:space="0" w:color="000000"/>
              <w:bottom w:val="single" w:sz="4" w:space="0" w:color="000000"/>
              <w:right w:val="single" w:sz="4" w:space="0" w:color="000000"/>
            </w:tcBorders>
          </w:tcPr>
          <w:p>
            <w:pPr>
              <w:pStyle w:val="Normal"/>
              <w:jc w:val="both"/>
              <w:rPr>
                <w:kern w:val="2"/>
                <w:sz w:val="24"/>
                <w:szCs w:val="24"/>
                <w:lang w:eastAsia="ar-SA"/>
              </w:rPr>
            </w:pPr>
            <w:r>
              <w:rPr>
                <w:kern w:val="2"/>
                <w:sz w:val="24"/>
                <w:szCs w:val="24"/>
                <w:lang w:eastAsia="ar-SA"/>
              </w:rPr>
              <w:t>Изготовление и размещение наружной рекламы (баннеры, стенды, вывески, ростовые рекламы) не менее 1 единицы ежегодно на фасадах зданий, автозаправках, в общественном транспорте в организациях (учреждениях)</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kern w:val="2"/>
                <w:sz w:val="24"/>
                <w:szCs w:val="24"/>
                <w:lang w:eastAsia="ar-SA"/>
              </w:rPr>
            </w:pPr>
            <w:r>
              <w:rPr>
                <w:kern w:val="2"/>
                <w:sz w:val="24"/>
                <w:szCs w:val="24"/>
                <w:lang w:eastAsia="ar-SA"/>
              </w:rPr>
              <w:t>1.6</w:t>
            </w:r>
          </w:p>
        </w:tc>
        <w:tc>
          <w:tcPr>
            <w:tcW w:w="4111" w:type="dxa"/>
            <w:tcBorders>
              <w:left w:val="single" w:sz="4" w:space="0" w:color="000000"/>
              <w:bottom w:val="single" w:sz="4" w:space="0" w:color="000000"/>
            </w:tcBorders>
          </w:tcPr>
          <w:p>
            <w:pPr>
              <w:pStyle w:val="Normal"/>
              <w:widowControl w:val="false"/>
              <w:spacing w:lineRule="atLeast" w:line="100"/>
              <w:jc w:val="both"/>
              <w:rPr>
                <w:kern w:val="2"/>
                <w:sz w:val="24"/>
                <w:szCs w:val="24"/>
                <w:lang w:eastAsia="ar-SA"/>
              </w:rPr>
            </w:pPr>
            <w:r>
              <w:rPr>
                <w:kern w:val="2"/>
                <w:sz w:val="24"/>
                <w:szCs w:val="24"/>
                <w:lang w:eastAsia="ar-SA"/>
              </w:rPr>
              <w:t>Распространение печатной продукции (плакаты, листовки, буклеты, памятки) по сохранению и укреплению здоровья, пропаганде здорового образа жизни</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15.12.2028</w:t>
            </w:r>
          </w:p>
        </w:tc>
        <w:tc>
          <w:tcPr>
            <w:tcW w:w="2607" w:type="dxa"/>
            <w:tcBorders>
              <w:left w:val="single" w:sz="4" w:space="0" w:color="000000"/>
              <w:bottom w:val="single" w:sz="4" w:space="0" w:color="000000"/>
            </w:tcBorders>
          </w:tcPr>
          <w:p>
            <w:pPr>
              <w:pStyle w:val="Normal"/>
              <w:rPr>
                <w:sz w:val="24"/>
                <w:szCs w:val="24"/>
              </w:rPr>
            </w:pPr>
            <w:r>
              <w:rPr>
                <w:sz w:val="24"/>
                <w:szCs w:val="24"/>
              </w:rPr>
              <w:t>Администрация Топкинского муниципального округа;</w:t>
            </w:r>
          </w:p>
          <w:p>
            <w:pPr>
              <w:pStyle w:val="Normal"/>
              <w:rPr>
                <w:sz w:val="24"/>
                <w:szCs w:val="24"/>
              </w:rPr>
            </w:pPr>
            <w:r>
              <w:rPr>
                <w:sz w:val="24"/>
                <w:szCs w:val="24"/>
              </w:rPr>
              <w:t>ТФ ГАУЗ ККГВВ (по согласованию)</w:t>
            </w:r>
          </w:p>
        </w:tc>
        <w:tc>
          <w:tcPr>
            <w:tcW w:w="4648" w:type="dxa"/>
            <w:tcBorders>
              <w:left w:val="single" w:sz="4" w:space="0" w:color="000000"/>
              <w:bottom w:val="single" w:sz="4" w:space="0" w:color="000000"/>
              <w:right w:val="single" w:sz="4" w:space="0" w:color="000000"/>
            </w:tcBorders>
          </w:tcPr>
          <w:p>
            <w:pPr>
              <w:pStyle w:val="Normal"/>
              <w:jc w:val="both"/>
              <w:rPr>
                <w:kern w:val="2"/>
                <w:sz w:val="24"/>
                <w:szCs w:val="24"/>
                <w:lang w:eastAsia="ar-SA"/>
              </w:rPr>
            </w:pPr>
            <w:r>
              <w:rPr>
                <w:kern w:val="2"/>
                <w:sz w:val="24"/>
                <w:szCs w:val="24"/>
                <w:lang w:eastAsia="ar-SA"/>
              </w:rPr>
              <w:t>Распространение печатных изданий тиражом не менее 1000 экземпляров ежегодно (памятки, листовки, буклеты, плакаты), направленные на формирование мотивации граждан к здоровому образу жизни, включая здоровое питание, физическую активность и отказ от вредных привычек</w:t>
            </w:r>
          </w:p>
        </w:tc>
      </w:tr>
      <w:tr>
        <w:trPr/>
        <w:tc>
          <w:tcPr>
            <w:tcW w:w="14850" w:type="dxa"/>
            <w:gridSpan w:val="6"/>
            <w:tcBorders>
              <w:top w:val="single" w:sz="4" w:space="0" w:color="000000"/>
              <w:left w:val="single" w:sz="4" w:space="0" w:color="000000"/>
              <w:bottom w:val="single" w:sz="4" w:space="0" w:color="000000"/>
              <w:right w:val="single" w:sz="4" w:space="0" w:color="000000"/>
            </w:tcBorders>
          </w:tcPr>
          <w:p>
            <w:pPr>
              <w:pStyle w:val="Normal"/>
              <w:rPr>
                <w:b/>
                <w:b/>
                <w:bCs/>
                <w:kern w:val="2"/>
                <w:sz w:val="24"/>
                <w:szCs w:val="24"/>
                <w:lang w:eastAsia="ar-SA"/>
              </w:rPr>
            </w:pPr>
            <w:r>
              <w:rPr>
                <w:b/>
                <w:bCs/>
                <w:kern w:val="2"/>
                <w:sz w:val="24"/>
                <w:szCs w:val="24"/>
                <w:lang w:eastAsia="ar-SA"/>
              </w:rPr>
              <w:t>2. Мероприятия по противодействию потребления табака и алкоголя, отказа от наркотиков</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2.1</w:t>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kern w:val="2"/>
                <w:sz w:val="24"/>
                <w:szCs w:val="24"/>
                <w:lang w:eastAsia="ar-SA"/>
              </w:rPr>
              <w:t xml:space="preserve">Проведение </w:t>
            </w:r>
            <w:r>
              <w:rPr>
                <w:sz w:val="24"/>
                <w:szCs w:val="24"/>
              </w:rPr>
              <w:t xml:space="preserve">групповых и массовых мероприятий среди населения, направленных на защиту от табачного дыма, снижение потребления алкоголя и наркотиков с привлечением волонтерских и социально ориентированных некоммерческих организаций </w:t>
            </w:r>
          </w:p>
          <w:p>
            <w:pPr>
              <w:pStyle w:val="Normal"/>
              <w:widowControl w:val="false"/>
              <w:jc w:val="both"/>
              <w:rPr>
                <w:sz w:val="24"/>
                <w:szCs w:val="24"/>
              </w:rPr>
            </w:pPr>
            <w:r>
              <w:rPr>
                <w:sz w:val="24"/>
                <w:szCs w:val="24"/>
              </w:rPr>
            </w:r>
          </w:p>
        </w:tc>
        <w:tc>
          <w:tcPr>
            <w:tcW w:w="137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Управление образования администрации Топкинского муниципального округа</w:t>
            </w:r>
          </w:p>
          <w:p>
            <w:pPr>
              <w:pStyle w:val="Normal"/>
              <w:rPr>
                <w:sz w:val="24"/>
                <w:szCs w:val="24"/>
              </w:rPr>
            </w:pPr>
            <w:r>
              <w:rPr>
                <w:sz w:val="24"/>
                <w:szCs w:val="24"/>
              </w:rPr>
              <w:t>Управление культуры, спорта и молодёжной политики администрации Топкинского муниципального округа;</w:t>
            </w:r>
          </w:p>
          <w:p>
            <w:pPr>
              <w:pStyle w:val="Normal"/>
              <w:rPr>
                <w:sz w:val="24"/>
                <w:szCs w:val="24"/>
              </w:rPr>
            </w:pPr>
            <w:r>
              <w:rPr>
                <w:sz w:val="24"/>
                <w:szCs w:val="24"/>
              </w:rPr>
              <w:t>Комитет социальной защиты населения администрации Топкинского муниципального округа;</w:t>
            </w:r>
          </w:p>
          <w:p>
            <w:pPr>
              <w:pStyle w:val="Normal"/>
              <w:rPr>
                <w:sz w:val="24"/>
                <w:szCs w:val="24"/>
              </w:rPr>
            </w:pPr>
            <w:r>
              <w:rPr>
                <w:sz w:val="24"/>
                <w:szCs w:val="24"/>
              </w:rPr>
              <w:t>ТФ ГАУЗ ККГВВ (по согласованию);</w:t>
            </w:r>
          </w:p>
          <w:p>
            <w:pPr>
              <w:pStyle w:val="Normal"/>
              <w:rPr>
                <w:sz w:val="24"/>
                <w:szCs w:val="24"/>
              </w:rPr>
            </w:pPr>
            <w:r>
              <w:rPr>
                <w:sz w:val="24"/>
                <w:szCs w:val="24"/>
              </w:rPr>
              <w:t>Волонтеры (ветераны, молодежь)</w:t>
            </w:r>
          </w:p>
        </w:tc>
        <w:tc>
          <w:tcPr>
            <w:tcW w:w="464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kern w:val="2"/>
                <w:sz w:val="24"/>
                <w:szCs w:val="24"/>
                <w:lang w:eastAsia="ar-SA"/>
              </w:rPr>
              <w:t>Проведение групповых и массовых мероприятий среди населения Топкинского муниципального округа, направленных на отказ от вредных привычек и наркотиков</w:t>
            </w:r>
            <w:r>
              <w:rPr>
                <w:sz w:val="24"/>
                <w:szCs w:val="24"/>
              </w:rPr>
              <w:t xml:space="preserve"> с привлечением волонтерских и социально ориентированных некоммерческих организаций</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widowControl w:val="false"/>
              <w:snapToGrid w:val="false"/>
              <w:jc w:val="both"/>
              <w:rPr>
                <w:bCs/>
                <w:kern w:val="2"/>
                <w:sz w:val="24"/>
                <w:szCs w:val="24"/>
                <w:lang w:eastAsia="ar-SA"/>
              </w:rPr>
            </w:pPr>
            <w:r>
              <w:rPr>
                <w:bCs/>
                <w:kern w:val="2"/>
                <w:sz w:val="24"/>
                <w:szCs w:val="24"/>
                <w:lang w:eastAsia="ar-SA"/>
              </w:rPr>
              <w:t>2.2</w:t>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Проведение мониторинга</w:t>
            </w:r>
          </w:p>
          <w:p>
            <w:pPr>
              <w:pStyle w:val="Normal"/>
              <w:widowControl w:val="false"/>
              <w:jc w:val="both"/>
              <w:rPr>
                <w:kern w:val="2"/>
                <w:sz w:val="24"/>
                <w:szCs w:val="24"/>
                <w:lang w:eastAsia="ar-SA"/>
              </w:rPr>
            </w:pPr>
            <w:r>
              <w:rPr>
                <w:kern w:val="2"/>
                <w:sz w:val="24"/>
                <w:szCs w:val="24"/>
                <w:lang w:eastAsia="ar-SA"/>
              </w:rPr>
              <w:t>торговых организаций, реализующих алкогольную и никотиносодержащую продукцию.</w:t>
            </w:r>
          </w:p>
        </w:tc>
        <w:tc>
          <w:tcPr>
            <w:tcW w:w="137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Отдел потребительского рынка и услуг управления экономического прогноза и  анализа администрации Топкинского муниципального округа</w:t>
            </w:r>
          </w:p>
          <w:p>
            <w:pPr>
              <w:pStyle w:val="Normal"/>
              <w:widowControl w:val="false"/>
              <w:jc w:val="both"/>
              <w:rPr>
                <w:kern w:val="2"/>
                <w:sz w:val="24"/>
                <w:szCs w:val="24"/>
                <w:lang w:eastAsia="ar-SA"/>
              </w:rPr>
            </w:pPr>
            <w:r>
              <w:rPr>
                <w:kern w:val="2"/>
                <w:sz w:val="24"/>
                <w:szCs w:val="24"/>
                <w:lang w:eastAsia="ar-SA"/>
              </w:rPr>
            </w:r>
          </w:p>
        </w:tc>
        <w:tc>
          <w:tcPr>
            <w:tcW w:w="464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Проведение мониторинга торговых организаций Топкинского муниципального округа на предмет соблюдения федерального законодательства по реализации алкогольной продукции. Выявление и пресечение реализации в торговых организациях фальсифицированной алкогольной продукции.</w:t>
            </w:r>
          </w:p>
          <w:p>
            <w:pPr>
              <w:pStyle w:val="Normal"/>
              <w:widowControl w:val="false"/>
              <w:jc w:val="both"/>
              <w:rPr/>
            </w:pPr>
            <w:r>
              <w:rPr>
                <w:kern w:val="2"/>
                <w:sz w:val="24"/>
                <w:szCs w:val="24"/>
                <w:lang w:eastAsia="ar-SA"/>
              </w:rPr>
              <w:t xml:space="preserve">Мониторинг объектов </w:t>
            </w:r>
            <w:r>
              <w:rPr>
                <w:sz w:val="24"/>
                <w:szCs w:val="24"/>
                <w:shd w:fill="FFFFFF" w:val="clear"/>
              </w:rPr>
              <w:t xml:space="preserve">  торговли и общественного питания, реализующие пиво и пивные напитки, расположенных   в многоквартирных жилых домах.</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2.3</w:t>
            </w:r>
          </w:p>
          <w:p>
            <w:pPr>
              <w:pStyle w:val="Normal"/>
              <w:jc w:val="both"/>
              <w:rPr>
                <w:sz w:val="24"/>
                <w:szCs w:val="24"/>
              </w:rPr>
            </w:pPr>
            <w:r>
              <w:rPr>
                <w:sz w:val="24"/>
                <w:szCs w:val="24"/>
              </w:rPr>
            </w:r>
          </w:p>
          <w:p>
            <w:pPr>
              <w:pStyle w:val="Normal"/>
              <w:jc w:val="both"/>
              <w:rPr>
                <w:sz w:val="24"/>
                <w:szCs w:val="24"/>
              </w:rPr>
            </w:pPr>
            <w:r>
              <w:rPr>
                <w:sz w:val="24"/>
                <w:szCs w:val="24"/>
              </w:rPr>
            </w:r>
          </w:p>
        </w:tc>
        <w:tc>
          <w:tcPr>
            <w:tcW w:w="411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Организация интерактивных площадок на базах библиотек, домов творчества, клубов по месту жительства, дворцов культуры для проведения мероприятий, приуроченных к Всемирному дню без табачного дыма (31 мая)</w:t>
            </w:r>
          </w:p>
          <w:p>
            <w:pPr>
              <w:pStyle w:val="Normal"/>
              <w:jc w:val="both"/>
              <w:rPr>
                <w:b/>
                <w:b/>
                <w:bCs/>
                <w:sz w:val="24"/>
                <w:szCs w:val="24"/>
              </w:rPr>
            </w:pPr>
            <w:r>
              <w:rPr>
                <w:b/>
                <w:bCs/>
                <w:sz w:val="24"/>
                <w:szCs w:val="24"/>
              </w:rPr>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p>
            <w:pPr>
              <w:pStyle w:val="Normal"/>
              <w:jc w:val="both"/>
              <w:rPr>
                <w:sz w:val="24"/>
                <w:szCs w:val="24"/>
              </w:rPr>
            </w:pPr>
            <w:r>
              <w:rPr>
                <w:sz w:val="24"/>
                <w:szCs w:val="24"/>
              </w:rPr>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sz w:val="24"/>
                <w:szCs w:val="24"/>
                <w:shd w:fill="FFFFFF" w:val="clear"/>
              </w:rPr>
            </w:pPr>
            <w:r>
              <w:rPr>
                <w:sz w:val="24"/>
                <w:szCs w:val="24"/>
                <w:shd w:fill="FFFFFF" w:val="clear"/>
              </w:rPr>
              <w:t>Управление культуры, спорта и молодежной политики администрации Топкинского муниципального округа</w:t>
            </w:r>
          </w:p>
        </w:tc>
        <w:tc>
          <w:tcPr>
            <w:tcW w:w="4648"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sz w:val="24"/>
                <w:szCs w:val="24"/>
              </w:rPr>
            </w:pPr>
            <w:r>
              <w:rPr>
                <w:sz w:val="24"/>
                <w:szCs w:val="24"/>
              </w:rPr>
              <w:t>Организация интерактивных площадок на базах учреждений культуры Топкинского муниципального округа</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kern w:val="2"/>
                <w:sz w:val="24"/>
                <w:szCs w:val="24"/>
                <w:shd w:fill="FFFFFF" w:val="clear"/>
                <w:lang w:eastAsia="ar-SA"/>
              </w:rPr>
            </w:pPr>
            <w:r>
              <w:rPr>
                <w:kern w:val="2"/>
                <w:sz w:val="24"/>
                <w:szCs w:val="24"/>
                <w:shd w:fill="FFFFFF" w:val="clear"/>
                <w:lang w:eastAsia="ar-SA"/>
              </w:rPr>
              <w:t>2.4</w:t>
            </w:r>
          </w:p>
        </w:tc>
        <w:tc>
          <w:tcPr>
            <w:tcW w:w="4111" w:type="dxa"/>
            <w:tcBorders>
              <w:left w:val="single" w:sz="4" w:space="0" w:color="000000"/>
              <w:bottom w:val="single" w:sz="4" w:space="0" w:color="000000"/>
            </w:tcBorders>
          </w:tcPr>
          <w:p>
            <w:pPr>
              <w:pStyle w:val="Normal"/>
              <w:widowControl w:val="false"/>
              <w:spacing w:lineRule="atLeast" w:line="100"/>
              <w:jc w:val="both"/>
              <w:rPr>
                <w:rFonts w:eastAsia="Andale Sans UI;Arial Unicode MS"/>
                <w:kern w:val="2"/>
                <w:sz w:val="24"/>
                <w:szCs w:val="24"/>
                <w:lang w:eastAsia="ar-SA"/>
              </w:rPr>
            </w:pPr>
            <w:r>
              <w:rPr>
                <w:rFonts w:eastAsia="Andale Sans UI;Arial Unicode MS"/>
                <w:kern w:val="2"/>
                <w:sz w:val="24"/>
                <w:szCs w:val="24"/>
                <w:lang w:eastAsia="ar-SA"/>
              </w:rPr>
              <w:t>Информирование населения о работе «телефонов доверия» нарколого – психологической направленности:</w:t>
            </w:r>
          </w:p>
          <w:p>
            <w:pPr>
              <w:pStyle w:val="Normal"/>
              <w:widowControl w:val="false"/>
              <w:spacing w:lineRule="atLeast" w:line="100"/>
              <w:jc w:val="both"/>
              <w:rPr/>
            </w:pPr>
            <w:r>
              <w:rPr>
                <w:kern w:val="2"/>
                <w:sz w:val="24"/>
                <w:szCs w:val="24"/>
                <w:lang w:eastAsia="ar-SA"/>
              </w:rPr>
              <w:t xml:space="preserve"> </w:t>
            </w:r>
            <w:r>
              <w:rPr>
                <w:rFonts w:eastAsia="Andale Sans UI;Arial Unicode MS"/>
                <w:kern w:val="2"/>
                <w:sz w:val="24"/>
                <w:szCs w:val="24"/>
                <w:lang w:eastAsia="ar-SA"/>
              </w:rPr>
              <w:t>- в г. Кемерово (384 – 2) 57 – 07 – 07</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p>
            <w:pPr>
              <w:pStyle w:val="Normal"/>
              <w:jc w:val="both"/>
              <w:rPr>
                <w:sz w:val="24"/>
                <w:szCs w:val="24"/>
              </w:rPr>
            </w:pPr>
            <w:r>
              <w:rPr>
                <w:sz w:val="24"/>
                <w:szCs w:val="24"/>
              </w:rPr>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15.12.2028</w:t>
            </w:r>
          </w:p>
        </w:tc>
        <w:tc>
          <w:tcPr>
            <w:tcW w:w="2607" w:type="dxa"/>
            <w:tcBorders>
              <w:left w:val="single" w:sz="4" w:space="0" w:color="000000"/>
              <w:bottom w:val="single" w:sz="4" w:space="0" w:color="000000"/>
            </w:tcBorders>
          </w:tcPr>
          <w:p>
            <w:pPr>
              <w:pStyle w:val="Normal"/>
              <w:rPr>
                <w:sz w:val="24"/>
                <w:szCs w:val="24"/>
              </w:rPr>
            </w:pPr>
            <w:r>
              <w:rPr>
                <w:sz w:val="24"/>
                <w:szCs w:val="24"/>
              </w:rPr>
              <w:t>Администрация Топкинского муниципального округа;</w:t>
            </w:r>
          </w:p>
          <w:p>
            <w:pPr>
              <w:pStyle w:val="Normal"/>
              <w:rPr>
                <w:sz w:val="24"/>
                <w:szCs w:val="24"/>
              </w:rPr>
            </w:pPr>
            <w:r>
              <w:rPr>
                <w:sz w:val="24"/>
                <w:szCs w:val="24"/>
              </w:rPr>
              <w:t>ТФ ГАУЗ ККГВВ (по согласованию)</w:t>
            </w:r>
          </w:p>
        </w:tc>
        <w:tc>
          <w:tcPr>
            <w:tcW w:w="4648" w:type="dxa"/>
            <w:tcBorders>
              <w:left w:val="single" w:sz="4" w:space="0" w:color="000000"/>
              <w:bottom w:val="single" w:sz="4" w:space="0" w:color="000000"/>
              <w:right w:val="single" w:sz="4" w:space="0" w:color="000000"/>
            </w:tcBorders>
          </w:tcPr>
          <w:p>
            <w:pPr>
              <w:pStyle w:val="Normal"/>
              <w:snapToGrid w:val="false"/>
              <w:jc w:val="both"/>
              <w:rPr>
                <w:rFonts w:eastAsia="Andale Sans UI;Arial Unicode MS"/>
                <w:kern w:val="2"/>
                <w:sz w:val="24"/>
                <w:szCs w:val="24"/>
                <w:lang w:eastAsia="ar-SA"/>
              </w:rPr>
            </w:pPr>
            <w:r>
              <w:rPr>
                <w:rFonts w:eastAsia="Andale Sans UI;Arial Unicode MS"/>
                <w:kern w:val="2"/>
                <w:sz w:val="24"/>
                <w:szCs w:val="24"/>
                <w:lang w:eastAsia="ar-SA"/>
              </w:rPr>
              <w:t>Работа телефонов доверия в штатном режиме</w:t>
            </w:r>
          </w:p>
        </w:tc>
      </w:tr>
      <w:tr>
        <w:trPr/>
        <w:tc>
          <w:tcPr>
            <w:tcW w:w="14850" w:type="dxa"/>
            <w:gridSpan w:val="6"/>
            <w:tcBorders>
              <w:top w:val="single" w:sz="4" w:space="0" w:color="000000"/>
              <w:left w:val="single" w:sz="4" w:space="0" w:color="000000"/>
              <w:bottom w:val="single" w:sz="4" w:space="0" w:color="000000"/>
              <w:right w:val="single" w:sz="4" w:space="0" w:color="000000"/>
            </w:tcBorders>
          </w:tcPr>
          <w:p>
            <w:pPr>
              <w:pStyle w:val="Normal"/>
              <w:widowControl w:val="false"/>
              <w:rPr>
                <w:b/>
                <w:b/>
                <w:bCs/>
                <w:kern w:val="2"/>
                <w:sz w:val="24"/>
                <w:szCs w:val="24"/>
                <w:shd w:fill="FFFFFF" w:val="clear"/>
                <w:lang w:eastAsia="ar-SA"/>
              </w:rPr>
            </w:pPr>
            <w:r>
              <w:rPr>
                <w:b/>
                <w:bCs/>
                <w:kern w:val="2"/>
                <w:sz w:val="24"/>
                <w:szCs w:val="24"/>
                <w:shd w:fill="FFFFFF" w:val="clear"/>
                <w:lang w:eastAsia="ar-SA"/>
              </w:rPr>
              <w:t xml:space="preserve">3.  Пропаганда оптимального питания среди населения </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3.1</w:t>
            </w:r>
          </w:p>
          <w:p>
            <w:pPr>
              <w:pStyle w:val="Normal"/>
              <w:widowControl w:val="false"/>
              <w:jc w:val="both"/>
              <w:rPr>
                <w:kern w:val="2"/>
                <w:sz w:val="24"/>
                <w:szCs w:val="24"/>
                <w:shd w:fill="FFFFFF" w:val="clear"/>
                <w:lang w:eastAsia="ar-SA"/>
              </w:rPr>
            </w:pPr>
            <w:r>
              <w:rPr>
                <w:kern w:val="2"/>
                <w:sz w:val="24"/>
                <w:szCs w:val="24"/>
                <w:shd w:fill="FFFFFF" w:val="clear"/>
                <w:lang w:eastAsia="ar-SA"/>
              </w:rPr>
            </w:r>
          </w:p>
          <w:p>
            <w:pPr>
              <w:pStyle w:val="Normal"/>
              <w:widowControl w:val="false"/>
              <w:jc w:val="both"/>
              <w:rPr>
                <w:kern w:val="2"/>
                <w:sz w:val="24"/>
                <w:szCs w:val="24"/>
                <w:shd w:fill="FFFFFF" w:val="clear"/>
                <w:lang w:eastAsia="ar-SA"/>
              </w:rPr>
            </w:pPr>
            <w:r>
              <w:rPr>
                <w:kern w:val="2"/>
                <w:sz w:val="24"/>
                <w:szCs w:val="24"/>
                <w:shd w:fill="FFFFFF" w:val="clear"/>
                <w:lang w:eastAsia="ar-SA"/>
              </w:rPr>
            </w:r>
          </w:p>
          <w:p>
            <w:pPr>
              <w:pStyle w:val="Normal"/>
              <w:widowControl w:val="false"/>
              <w:jc w:val="both"/>
              <w:rPr>
                <w:kern w:val="2"/>
                <w:sz w:val="24"/>
                <w:szCs w:val="24"/>
                <w:shd w:fill="FFFFFF" w:val="clear"/>
                <w:lang w:eastAsia="ar-SA"/>
              </w:rPr>
            </w:pPr>
            <w:r>
              <w:rPr>
                <w:kern w:val="2"/>
                <w:sz w:val="24"/>
                <w:szCs w:val="24"/>
                <w:shd w:fill="FFFFFF" w:val="clear"/>
                <w:lang w:eastAsia="ar-SA"/>
              </w:rPr>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Организация и проведение мониторинга по вопросам организации питания в образовательных организациях.</w:t>
            </w:r>
          </w:p>
        </w:tc>
        <w:tc>
          <w:tcPr>
            <w:tcW w:w="137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01.01.2025</w:t>
            </w:r>
          </w:p>
          <w:p>
            <w:pPr>
              <w:pStyle w:val="Normal"/>
              <w:widowControl w:val="false"/>
              <w:jc w:val="both"/>
              <w:rPr>
                <w:kern w:val="2"/>
                <w:sz w:val="24"/>
                <w:szCs w:val="24"/>
                <w:shd w:fill="FFFFFF" w:val="clear"/>
                <w:lang w:eastAsia="ar-SA"/>
              </w:rPr>
            </w:pPr>
            <w:r>
              <w:rPr>
                <w:kern w:val="2"/>
                <w:sz w:val="24"/>
                <w:szCs w:val="24"/>
                <w:shd w:fill="FFFFFF" w:val="clear"/>
                <w:lang w:eastAsia="ar-SA"/>
              </w:rPr>
            </w:r>
          </w:p>
        </w:tc>
        <w:tc>
          <w:tcPr>
            <w:tcW w:w="12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kern w:val="2"/>
                <w:sz w:val="24"/>
                <w:szCs w:val="24"/>
                <w:lang w:eastAsia="ar-SA"/>
              </w:rPr>
              <w:t xml:space="preserve">Управление образования </w:t>
            </w:r>
            <w:r>
              <w:rPr>
                <w:sz w:val="24"/>
                <w:szCs w:val="24"/>
                <w:shd w:fill="FFFFFF" w:val="clear"/>
              </w:rPr>
              <w:t>администрации Топкинского муниципального округа</w:t>
            </w:r>
          </w:p>
        </w:tc>
        <w:tc>
          <w:tcPr>
            <w:tcW w:w="464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Ведение мониторинга организации питания с целью контроля исполнения СанПиН по вопросам организации питания в образовательных организациях.</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jc w:val="both"/>
              <w:rPr>
                <w:kern w:val="2"/>
                <w:sz w:val="24"/>
                <w:szCs w:val="24"/>
                <w:shd w:fill="FFFFFF" w:val="clear"/>
                <w:lang w:eastAsia="ar-SA"/>
              </w:rPr>
            </w:pPr>
            <w:r>
              <w:rPr>
                <w:kern w:val="2"/>
                <w:sz w:val="24"/>
                <w:szCs w:val="24"/>
                <w:shd w:fill="FFFFFF" w:val="clear"/>
                <w:lang w:eastAsia="ar-SA"/>
              </w:rPr>
              <w:t>3.2</w:t>
            </w:r>
          </w:p>
        </w:tc>
        <w:tc>
          <w:tcPr>
            <w:tcW w:w="4111" w:type="dxa"/>
            <w:tcBorders>
              <w:top w:val="single" w:sz="4" w:space="0" w:color="000000"/>
              <w:left w:val="single" w:sz="4" w:space="0" w:color="000000"/>
              <w:bottom w:val="single" w:sz="4" w:space="0" w:color="000000"/>
              <w:right w:val="single" w:sz="4" w:space="0" w:color="000000"/>
            </w:tcBorders>
          </w:tcPr>
          <w:p>
            <w:pPr>
              <w:pStyle w:val="Normal"/>
              <w:jc w:val="both"/>
              <w:rPr/>
            </w:pPr>
            <w:r>
              <w:rPr>
                <w:sz w:val="24"/>
                <w:szCs w:val="24"/>
              </w:rPr>
              <w:t xml:space="preserve">Проведение групповых и массовых мероприятий (акций, флэш-мобов, дней здоровья, видео-лекториев, лекториев и пр.), среди населения </w:t>
            </w:r>
            <w:r>
              <w:rPr>
                <w:sz w:val="24"/>
                <w:szCs w:val="24"/>
                <w:shd w:fill="FFFFFF" w:val="clear"/>
              </w:rPr>
              <w:t>по формированию здорового питания, профилактики ожирения среди учащихся образовательных учреждений и взрослого населения.</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01.01.2025</w:t>
            </w:r>
          </w:p>
          <w:p>
            <w:pPr>
              <w:pStyle w:val="Normal"/>
              <w:jc w:val="both"/>
              <w:rPr>
                <w:sz w:val="24"/>
                <w:szCs w:val="24"/>
                <w:shd w:fill="FFFFFF" w:val="clear"/>
              </w:rPr>
            </w:pPr>
            <w:r>
              <w:rPr>
                <w:sz w:val="24"/>
                <w:szCs w:val="24"/>
                <w:shd w:fill="FFFFFF" w:val="clear"/>
              </w:rPr>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15.12.2028</w:t>
            </w:r>
          </w:p>
          <w:p>
            <w:pPr>
              <w:pStyle w:val="Normal"/>
              <w:jc w:val="both"/>
              <w:rPr>
                <w:sz w:val="24"/>
                <w:szCs w:val="24"/>
                <w:shd w:fill="FFFFFF" w:val="clear"/>
              </w:rPr>
            </w:pPr>
            <w:r>
              <w:rPr>
                <w:sz w:val="24"/>
                <w:szCs w:val="24"/>
                <w:shd w:fill="FFFFFF" w:val="clear"/>
              </w:rPr>
            </w:r>
          </w:p>
        </w:tc>
        <w:tc>
          <w:tcPr>
            <w:tcW w:w="2607" w:type="dxa"/>
            <w:tcBorders>
              <w:top w:val="single" w:sz="4" w:space="0" w:color="000000"/>
              <w:left w:val="single" w:sz="4" w:space="0" w:color="000000"/>
              <w:bottom w:val="single" w:sz="4" w:space="0" w:color="000000"/>
              <w:right w:val="single" w:sz="4" w:space="0" w:color="000000"/>
            </w:tcBorders>
          </w:tcPr>
          <w:p>
            <w:pPr>
              <w:pStyle w:val="Normal"/>
              <w:jc w:val="both"/>
              <w:rPr/>
            </w:pPr>
            <w:r>
              <w:rPr>
                <w:kern w:val="2"/>
                <w:sz w:val="24"/>
                <w:szCs w:val="24"/>
                <w:lang w:eastAsia="ar-SA"/>
              </w:rPr>
              <w:t xml:space="preserve">Управление образования </w:t>
            </w:r>
            <w:r>
              <w:rPr>
                <w:sz w:val="24"/>
                <w:szCs w:val="24"/>
                <w:shd w:fill="FFFFFF" w:val="clear"/>
              </w:rPr>
              <w:t>администрации Топкинского муниципального округа;</w:t>
            </w:r>
          </w:p>
          <w:p>
            <w:pPr>
              <w:pStyle w:val="Normal"/>
              <w:jc w:val="both"/>
              <w:rPr>
                <w:sz w:val="24"/>
                <w:szCs w:val="24"/>
                <w:shd w:fill="FFFFFF" w:val="clear"/>
              </w:rPr>
            </w:pPr>
            <w:r>
              <w:rPr>
                <w:sz w:val="24"/>
                <w:szCs w:val="24"/>
                <w:shd w:fill="FFFFFF" w:val="clear"/>
              </w:rPr>
            </w:r>
          </w:p>
          <w:p>
            <w:pPr>
              <w:pStyle w:val="Normal"/>
              <w:jc w:val="both"/>
              <w:rPr>
                <w:sz w:val="24"/>
                <w:szCs w:val="24"/>
                <w:shd w:fill="FFFFFF" w:val="clear"/>
              </w:rPr>
            </w:pPr>
            <w:r>
              <w:rPr>
                <w:sz w:val="24"/>
                <w:szCs w:val="24"/>
                <w:shd w:fill="FFFFFF" w:val="clear"/>
              </w:rPr>
              <w:t>Управление культуры, спорта и молодежной политики администрации Топкинского муниципального округа;</w:t>
            </w:r>
          </w:p>
          <w:p>
            <w:pPr>
              <w:pStyle w:val="Normal"/>
              <w:jc w:val="both"/>
              <w:rPr/>
            </w:pPr>
            <w:r>
              <w:rPr>
                <w:color w:val="000000"/>
                <w:sz w:val="24"/>
                <w:szCs w:val="24"/>
              </w:rPr>
              <w:t xml:space="preserve">ТФ ГАУЗ ККГВВ </w:t>
            </w:r>
            <w:r>
              <w:rPr>
                <w:sz w:val="24"/>
                <w:szCs w:val="24"/>
              </w:rPr>
              <w:t>(по согласованию)</w:t>
            </w:r>
          </w:p>
        </w:tc>
        <w:tc>
          <w:tcPr>
            <w:tcW w:w="4648" w:type="dxa"/>
            <w:tcBorders>
              <w:top w:val="single" w:sz="4" w:space="0" w:color="000000"/>
              <w:left w:val="single" w:sz="4" w:space="0" w:color="000000"/>
              <w:bottom w:val="single" w:sz="4" w:space="0" w:color="000000"/>
              <w:right w:val="single" w:sz="4" w:space="0" w:color="000000"/>
            </w:tcBorders>
          </w:tcPr>
          <w:p>
            <w:pPr>
              <w:pStyle w:val="Normal"/>
              <w:jc w:val="both"/>
              <w:rPr/>
            </w:pPr>
            <w:r>
              <w:rPr>
                <w:sz w:val="24"/>
                <w:szCs w:val="24"/>
                <w:shd w:fill="FFFFFF" w:val="clear"/>
              </w:rPr>
              <w:t xml:space="preserve">Повышен </w:t>
            </w:r>
            <w:r>
              <w:rPr>
                <w:sz w:val="24"/>
                <w:szCs w:val="24"/>
              </w:rPr>
              <w:t>уровень информированности населения</w:t>
            </w:r>
            <w:r>
              <w:rPr>
                <w:sz w:val="24"/>
                <w:szCs w:val="24"/>
                <w:shd w:fill="FFFFFF" w:val="clear"/>
              </w:rPr>
              <w:t xml:space="preserve"> по вопросам здорового питания, профилактики ожирения, снижения показателей населения с разными степенями ожирения</w:t>
            </w:r>
          </w:p>
        </w:tc>
      </w:tr>
      <w:tr>
        <w:trPr>
          <w:trHeight w:val="3312" w:hRule="atLeast"/>
        </w:trPr>
        <w:tc>
          <w:tcPr>
            <w:tcW w:w="81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3.3</w:t>
            </w:r>
          </w:p>
          <w:p>
            <w:pPr>
              <w:pStyle w:val="Normal"/>
              <w:widowControl w:val="false"/>
              <w:jc w:val="both"/>
              <w:rPr>
                <w:kern w:val="2"/>
                <w:sz w:val="24"/>
                <w:szCs w:val="24"/>
                <w:shd w:fill="FFFFFF" w:val="clear"/>
                <w:lang w:eastAsia="ar-SA"/>
              </w:rPr>
            </w:pPr>
            <w:r>
              <w:rPr>
                <w:kern w:val="2"/>
                <w:sz w:val="24"/>
                <w:szCs w:val="24"/>
                <w:shd w:fill="FFFFFF" w:val="clear"/>
                <w:lang w:eastAsia="ar-SA"/>
              </w:rPr>
            </w:r>
          </w:p>
          <w:p>
            <w:pPr>
              <w:pStyle w:val="Normal"/>
              <w:widowControl w:val="false"/>
              <w:jc w:val="both"/>
              <w:rPr>
                <w:kern w:val="2"/>
                <w:sz w:val="24"/>
                <w:szCs w:val="24"/>
                <w:shd w:fill="FFFFFF" w:val="clear"/>
                <w:lang w:eastAsia="ar-SA"/>
              </w:rPr>
            </w:pPr>
            <w:r>
              <w:rPr>
                <w:kern w:val="2"/>
                <w:sz w:val="24"/>
                <w:szCs w:val="24"/>
                <w:shd w:fill="FFFFFF" w:val="clear"/>
                <w:lang w:eastAsia="ar-SA"/>
              </w:rPr>
            </w:r>
          </w:p>
          <w:p>
            <w:pPr>
              <w:pStyle w:val="Normal"/>
              <w:widowControl w:val="false"/>
              <w:jc w:val="both"/>
              <w:rPr>
                <w:kern w:val="2"/>
                <w:sz w:val="24"/>
                <w:szCs w:val="24"/>
                <w:shd w:fill="FFFFFF" w:val="clear"/>
                <w:lang w:eastAsia="ar-SA"/>
              </w:rPr>
            </w:pPr>
            <w:r>
              <w:rPr>
                <w:kern w:val="2"/>
                <w:sz w:val="24"/>
                <w:szCs w:val="24"/>
                <w:shd w:fill="FFFFFF" w:val="clear"/>
                <w:lang w:eastAsia="ar-SA"/>
              </w:rPr>
            </w:r>
          </w:p>
          <w:p>
            <w:pPr>
              <w:pStyle w:val="Normal"/>
              <w:widowControl w:val="false"/>
              <w:jc w:val="both"/>
              <w:rPr>
                <w:kern w:val="2"/>
                <w:sz w:val="24"/>
                <w:szCs w:val="24"/>
                <w:shd w:fill="FFFFFF" w:val="clear"/>
                <w:lang w:eastAsia="ar-SA"/>
              </w:rPr>
            </w:pPr>
            <w:r>
              <w:rPr>
                <w:kern w:val="2"/>
                <w:sz w:val="24"/>
                <w:szCs w:val="24"/>
                <w:shd w:fill="FFFFFF" w:val="clear"/>
                <w:lang w:eastAsia="ar-SA"/>
              </w:rPr>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 xml:space="preserve">Проведение акции «Здоровое питание» </w:t>
            </w:r>
          </w:p>
          <w:p>
            <w:pPr>
              <w:pStyle w:val="Normal"/>
              <w:widowControl w:val="false"/>
              <w:jc w:val="both"/>
              <w:rPr>
                <w:kern w:val="2"/>
                <w:sz w:val="24"/>
                <w:szCs w:val="24"/>
                <w:shd w:fill="FFFFFF" w:val="clear"/>
                <w:lang w:eastAsia="ar-SA"/>
              </w:rPr>
            </w:pPr>
            <w:r>
              <w:rPr>
                <w:kern w:val="2"/>
                <w:sz w:val="24"/>
                <w:szCs w:val="24"/>
                <w:shd w:fill="FFFFFF" w:val="clear"/>
                <w:lang w:eastAsia="ar-SA"/>
              </w:rPr>
            </w:r>
          </w:p>
          <w:p>
            <w:pPr>
              <w:pStyle w:val="Normal"/>
              <w:widowControl w:val="false"/>
              <w:jc w:val="both"/>
              <w:rPr>
                <w:kern w:val="2"/>
                <w:sz w:val="24"/>
                <w:szCs w:val="24"/>
                <w:shd w:fill="FFFFFF" w:val="clear"/>
                <w:lang w:eastAsia="ar-SA"/>
              </w:rPr>
            </w:pPr>
            <w:r>
              <w:rPr>
                <w:kern w:val="2"/>
                <w:sz w:val="24"/>
                <w:szCs w:val="24"/>
                <w:shd w:fill="FFFFFF" w:val="clear"/>
                <w:lang w:eastAsia="ar-SA"/>
              </w:rPr>
            </w:r>
          </w:p>
        </w:tc>
        <w:tc>
          <w:tcPr>
            <w:tcW w:w="137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01.01.2025</w:t>
            </w:r>
          </w:p>
          <w:p>
            <w:pPr>
              <w:pStyle w:val="Normal"/>
              <w:widowControl w:val="false"/>
              <w:jc w:val="both"/>
              <w:rPr>
                <w:kern w:val="2"/>
                <w:sz w:val="24"/>
                <w:szCs w:val="24"/>
                <w:lang w:eastAsia="ar-SA"/>
              </w:rPr>
            </w:pPr>
            <w:r>
              <w:rPr>
                <w:kern w:val="2"/>
                <w:sz w:val="24"/>
                <w:szCs w:val="24"/>
                <w:lang w:eastAsia="ar-SA"/>
              </w:rPr>
            </w:r>
          </w:p>
        </w:tc>
        <w:tc>
          <w:tcPr>
            <w:tcW w:w="12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15.12.2028</w:t>
            </w:r>
          </w:p>
          <w:p>
            <w:pPr>
              <w:pStyle w:val="Normal"/>
              <w:widowControl w:val="false"/>
              <w:jc w:val="both"/>
              <w:rPr>
                <w:kern w:val="2"/>
                <w:sz w:val="24"/>
                <w:szCs w:val="24"/>
                <w:lang w:eastAsia="ar-SA"/>
              </w:rPr>
            </w:pPr>
            <w:r>
              <w:rPr>
                <w:kern w:val="2"/>
                <w:sz w:val="24"/>
                <w:szCs w:val="24"/>
                <w:lang w:eastAsia="ar-SA"/>
              </w:rPr>
            </w:r>
          </w:p>
        </w:tc>
        <w:tc>
          <w:tcPr>
            <w:tcW w:w="2607" w:type="dxa"/>
            <w:tcBorders>
              <w:top w:val="single" w:sz="4" w:space="0" w:color="000000"/>
              <w:left w:val="single" w:sz="4" w:space="0" w:color="000000"/>
              <w:right w:val="single" w:sz="4" w:space="0" w:color="000000"/>
            </w:tcBorders>
          </w:tcPr>
          <w:p>
            <w:pPr>
              <w:pStyle w:val="Normal"/>
              <w:widowControl w:val="false"/>
              <w:jc w:val="both"/>
              <w:rPr/>
            </w:pPr>
            <w:r>
              <w:rPr>
                <w:kern w:val="2"/>
                <w:sz w:val="24"/>
                <w:szCs w:val="24"/>
                <w:lang w:eastAsia="ar-SA"/>
              </w:rPr>
              <w:t xml:space="preserve">Управление образования </w:t>
            </w:r>
            <w:r>
              <w:rPr>
                <w:sz w:val="24"/>
                <w:szCs w:val="24"/>
                <w:shd w:fill="FFFFFF" w:val="clear"/>
              </w:rPr>
              <w:t>администрации Топкинского муниципального округа;</w:t>
            </w:r>
          </w:p>
          <w:p>
            <w:pPr>
              <w:pStyle w:val="Normal"/>
              <w:rPr>
                <w:sz w:val="24"/>
                <w:szCs w:val="24"/>
              </w:rPr>
            </w:pPr>
            <w:r>
              <w:rPr>
                <w:sz w:val="24"/>
                <w:szCs w:val="24"/>
              </w:rPr>
              <w:t xml:space="preserve">Комитет социальной защиты населения администрации Топкинского муниципального округа                                          </w:t>
            </w:r>
          </w:p>
        </w:tc>
        <w:tc>
          <w:tcPr>
            <w:tcW w:w="4648" w:type="dxa"/>
            <w:tcBorders>
              <w:top w:val="single" w:sz="4" w:space="0" w:color="000000"/>
              <w:left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Проведение акции «Здоровое питание» в образовательных организациях Топкинского муниципального округа, с целью формирования у обучающихся положительного отношения к здоровому питанию.</w:t>
            </w:r>
          </w:p>
          <w:p>
            <w:pPr>
              <w:pStyle w:val="NoSpacing"/>
              <w:jc w:val="both"/>
              <w:rPr>
                <w:rFonts w:ascii="Times New Roman" w:hAnsi="Times New Roman" w:cs="Times New Roman"/>
                <w:sz w:val="24"/>
                <w:szCs w:val="24"/>
              </w:rPr>
            </w:pPr>
            <w:r>
              <w:rPr>
                <w:rFonts w:cs="Times New Roman" w:ascii="Times New Roman" w:hAnsi="Times New Roman"/>
                <w:sz w:val="24"/>
                <w:szCs w:val="24"/>
              </w:rPr>
              <w:t>Укрепление здоровья воспитанников.</w:t>
            </w:r>
          </w:p>
          <w:p>
            <w:pPr>
              <w:pStyle w:val="Normal"/>
              <w:widowControl w:val="false"/>
              <w:jc w:val="both"/>
              <w:rPr>
                <w:sz w:val="24"/>
                <w:szCs w:val="24"/>
              </w:rPr>
            </w:pPr>
            <w:r>
              <w:rPr>
                <w:sz w:val="24"/>
                <w:szCs w:val="24"/>
              </w:rPr>
              <w:t>Проведение информационно-разъяснительной работы о пользе здорового питания среди работников учреждений, получателей услуг.</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3.4</w:t>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Организация и проведение ярмарок – выставок товаров местных товаропроизводителей (овощи, мясо, рыба)</w:t>
            </w:r>
          </w:p>
          <w:p>
            <w:pPr>
              <w:pStyle w:val="Normal"/>
              <w:widowControl w:val="false"/>
              <w:jc w:val="both"/>
              <w:rPr>
                <w:kern w:val="2"/>
                <w:sz w:val="24"/>
                <w:szCs w:val="24"/>
                <w:shd w:fill="FFFFFF" w:val="clear"/>
                <w:lang w:eastAsia="ar-SA"/>
              </w:rPr>
            </w:pPr>
            <w:r>
              <w:rPr>
                <w:kern w:val="2"/>
                <w:sz w:val="24"/>
                <w:szCs w:val="24"/>
                <w:shd w:fill="FFFFFF" w:val="clear"/>
                <w:lang w:eastAsia="ar-SA"/>
              </w:rPr>
            </w:r>
          </w:p>
          <w:p>
            <w:pPr>
              <w:pStyle w:val="Normal"/>
              <w:widowControl w:val="false"/>
              <w:jc w:val="both"/>
              <w:rPr>
                <w:kern w:val="2"/>
                <w:sz w:val="24"/>
                <w:szCs w:val="24"/>
                <w:shd w:fill="FFFFFF" w:val="clear"/>
                <w:lang w:eastAsia="ar-SA"/>
              </w:rPr>
            </w:pPr>
            <w:r>
              <w:rPr>
                <w:kern w:val="2"/>
                <w:sz w:val="24"/>
                <w:szCs w:val="24"/>
                <w:shd w:fill="FFFFFF" w:val="clear"/>
                <w:lang w:eastAsia="ar-SA"/>
              </w:rPr>
            </w:r>
          </w:p>
        </w:tc>
        <w:tc>
          <w:tcPr>
            <w:tcW w:w="137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01.01.2025</w:t>
            </w:r>
          </w:p>
          <w:p>
            <w:pPr>
              <w:pStyle w:val="Normal"/>
              <w:widowControl w:val="false"/>
              <w:jc w:val="both"/>
              <w:rPr>
                <w:kern w:val="2"/>
                <w:sz w:val="24"/>
                <w:szCs w:val="24"/>
                <w:shd w:fill="FFFFFF" w:val="clear"/>
                <w:lang w:eastAsia="ar-SA"/>
              </w:rPr>
            </w:pPr>
            <w:r>
              <w:rPr>
                <w:kern w:val="2"/>
                <w:sz w:val="24"/>
                <w:szCs w:val="24"/>
                <w:shd w:fill="FFFFFF" w:val="clear"/>
                <w:lang w:eastAsia="ar-SA"/>
              </w:rPr>
            </w:r>
          </w:p>
        </w:tc>
        <w:tc>
          <w:tcPr>
            <w:tcW w:w="12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 xml:space="preserve">Отдел потребительского рынка и услуг </w:t>
            </w:r>
            <w:bookmarkStart w:id="20" w:name="__DdeLink__1808_2108389886"/>
            <w:r>
              <w:rPr>
                <w:kern w:val="2"/>
                <w:sz w:val="24"/>
                <w:szCs w:val="24"/>
                <w:lang w:eastAsia="ar-SA"/>
              </w:rPr>
              <w:t>управления экономического прогноза и анализа</w:t>
            </w:r>
            <w:bookmarkEnd w:id="20"/>
            <w:r>
              <w:rPr>
                <w:kern w:val="2"/>
                <w:sz w:val="24"/>
                <w:szCs w:val="24"/>
                <w:lang w:eastAsia="ar-SA"/>
              </w:rPr>
              <w:t xml:space="preserve"> администрации Топкинского муниципального округа</w:t>
            </w:r>
          </w:p>
          <w:p>
            <w:pPr>
              <w:pStyle w:val="Normal"/>
              <w:widowControl w:val="false"/>
              <w:jc w:val="both"/>
              <w:rPr>
                <w:kern w:val="2"/>
                <w:sz w:val="24"/>
                <w:szCs w:val="24"/>
                <w:shd w:fill="FFFFFF" w:val="clear"/>
                <w:lang w:eastAsia="ar-SA"/>
              </w:rPr>
            </w:pPr>
            <w:r>
              <w:rPr>
                <w:kern w:val="2"/>
                <w:sz w:val="24"/>
                <w:szCs w:val="24"/>
                <w:shd w:fill="FFFFFF" w:val="clear"/>
                <w:lang w:eastAsia="ar-SA"/>
              </w:rPr>
            </w:r>
          </w:p>
        </w:tc>
        <w:tc>
          <w:tcPr>
            <w:tcW w:w="464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sz w:val="24"/>
                <w:szCs w:val="24"/>
              </w:rPr>
              <w:t xml:space="preserve">Для улучшения покупательской способности и удовлетворения потребностей населения в качественных продуктах питания и товарах </w:t>
            </w:r>
            <w:r>
              <w:rPr>
                <w:position w:val="6"/>
                <w:sz w:val="24"/>
                <w:szCs w:val="24"/>
              </w:rPr>
              <w:t>ежемесячно, на территории торгового комплекса «Топкинский» проходят ярмарки с участием местных сельхоз- и товаропроизводителей.</w:t>
            </w:r>
          </w:p>
        </w:tc>
      </w:tr>
      <w:tr>
        <w:trPr/>
        <w:tc>
          <w:tcPr>
            <w:tcW w:w="14850" w:type="dxa"/>
            <w:gridSpan w:val="6"/>
            <w:tcBorders>
              <w:top w:val="single" w:sz="4" w:space="0" w:color="000000"/>
              <w:left w:val="single" w:sz="4" w:space="0" w:color="000000"/>
              <w:bottom w:val="single" w:sz="4" w:space="0" w:color="000000"/>
              <w:right w:val="single" w:sz="4" w:space="0" w:color="000000"/>
            </w:tcBorders>
          </w:tcPr>
          <w:p>
            <w:pPr>
              <w:pStyle w:val="Normal"/>
              <w:rPr>
                <w:b/>
                <w:b/>
                <w:bCs/>
                <w:color w:val="000000"/>
                <w:kern w:val="2"/>
                <w:sz w:val="24"/>
                <w:szCs w:val="24"/>
                <w:shd w:fill="FFFFFF" w:val="clear"/>
                <w:lang w:eastAsia="ar-SA"/>
              </w:rPr>
            </w:pPr>
            <w:r>
              <w:rPr>
                <w:b/>
                <w:bCs/>
                <w:color w:val="000000"/>
                <w:kern w:val="2"/>
                <w:sz w:val="24"/>
                <w:szCs w:val="24"/>
                <w:shd w:fill="FFFFFF" w:val="clear"/>
                <w:lang w:eastAsia="ar-SA"/>
              </w:rPr>
              <w:t>4. Мотивирование граждан к ведению здорового образа жизни посредством внедрения программ укрепления здоровья на рабочем месте (корпоративные программы укрепления здоровья)</w:t>
            </w:r>
          </w:p>
        </w:tc>
      </w:tr>
      <w:tr>
        <w:trPr/>
        <w:tc>
          <w:tcPr>
            <w:tcW w:w="817" w:type="dxa"/>
            <w:tcBorders>
              <w:top w:val="single" w:sz="4" w:space="0" w:color="000000"/>
              <w:left w:val="single" w:sz="4" w:space="0" w:color="000000"/>
              <w:right w:val="single" w:sz="4" w:space="0" w:color="000000"/>
            </w:tcBorders>
          </w:tcPr>
          <w:p>
            <w:pPr>
              <w:pStyle w:val="Normal"/>
              <w:widowControl w:val="false"/>
              <w:jc w:val="both"/>
              <w:rPr>
                <w:sz w:val="24"/>
                <w:szCs w:val="24"/>
              </w:rPr>
            </w:pPr>
            <w:r>
              <w:rPr>
                <w:sz w:val="24"/>
                <w:szCs w:val="24"/>
              </w:rPr>
              <w:t>4.1</w:t>
            </w:r>
          </w:p>
          <w:p>
            <w:pPr>
              <w:pStyle w:val="Normal"/>
              <w:widowControl w:val="false"/>
              <w:jc w:val="both"/>
              <w:rPr>
                <w:sz w:val="24"/>
                <w:szCs w:val="24"/>
                <w:shd w:fill="FFFFFF" w:val="clear"/>
              </w:rPr>
            </w:pPr>
            <w:r>
              <w:rPr>
                <w:sz w:val="24"/>
                <w:szCs w:val="24"/>
                <w:shd w:fill="FFFFFF" w:val="clear"/>
              </w:rPr>
            </w:r>
          </w:p>
          <w:p>
            <w:pPr>
              <w:pStyle w:val="Normal"/>
              <w:widowControl w:val="false"/>
              <w:jc w:val="both"/>
              <w:rPr>
                <w:sz w:val="24"/>
                <w:szCs w:val="24"/>
                <w:shd w:fill="FFFFFF" w:val="clear"/>
              </w:rPr>
            </w:pPr>
            <w:r>
              <w:rPr>
                <w:sz w:val="24"/>
                <w:szCs w:val="24"/>
                <w:shd w:fill="FFFFFF" w:val="clear"/>
              </w:rPr>
            </w:r>
          </w:p>
          <w:p>
            <w:pPr>
              <w:pStyle w:val="Normal"/>
              <w:widowControl w:val="false"/>
              <w:jc w:val="both"/>
              <w:rPr>
                <w:sz w:val="24"/>
                <w:szCs w:val="24"/>
                <w:shd w:fill="FFFFFF" w:val="clear"/>
              </w:rPr>
            </w:pPr>
            <w:r>
              <w:rPr>
                <w:sz w:val="24"/>
                <w:szCs w:val="24"/>
                <w:shd w:fill="FFFFFF" w:val="clear"/>
              </w:rPr>
            </w:r>
          </w:p>
          <w:p>
            <w:pPr>
              <w:pStyle w:val="Normal"/>
              <w:widowControl w:val="false"/>
              <w:jc w:val="both"/>
              <w:rPr>
                <w:sz w:val="24"/>
                <w:szCs w:val="24"/>
                <w:shd w:fill="FFFFFF" w:val="clear"/>
              </w:rPr>
            </w:pPr>
            <w:r>
              <w:rPr>
                <w:sz w:val="24"/>
                <w:szCs w:val="24"/>
                <w:shd w:fill="FFFFFF" w:val="clear"/>
              </w:rPr>
            </w:r>
          </w:p>
          <w:p>
            <w:pPr>
              <w:pStyle w:val="Normal"/>
              <w:widowControl w:val="false"/>
              <w:jc w:val="both"/>
              <w:rPr>
                <w:sz w:val="24"/>
                <w:szCs w:val="24"/>
                <w:shd w:fill="FFFFFF" w:val="clear"/>
              </w:rPr>
            </w:pPr>
            <w:r>
              <w:rPr>
                <w:sz w:val="24"/>
                <w:szCs w:val="24"/>
                <w:shd w:fill="FFFFFF" w:val="clear"/>
              </w:rPr>
            </w:r>
          </w:p>
          <w:p>
            <w:pPr>
              <w:pStyle w:val="Normal"/>
              <w:widowControl w:val="false"/>
              <w:jc w:val="both"/>
              <w:rPr>
                <w:sz w:val="24"/>
                <w:szCs w:val="24"/>
                <w:shd w:fill="FFFFFF" w:val="clear"/>
              </w:rPr>
            </w:pPr>
            <w:r>
              <w:rPr>
                <w:sz w:val="24"/>
                <w:szCs w:val="24"/>
                <w:shd w:fill="FFFFFF" w:val="clear"/>
              </w:rPr>
            </w:r>
          </w:p>
          <w:p>
            <w:pPr>
              <w:pStyle w:val="Normal"/>
              <w:widowControl w:val="false"/>
              <w:jc w:val="both"/>
              <w:rPr>
                <w:sz w:val="24"/>
                <w:szCs w:val="24"/>
                <w:shd w:fill="FFFFFF" w:val="clear"/>
              </w:rPr>
            </w:pPr>
            <w:r>
              <w:rPr>
                <w:sz w:val="24"/>
                <w:szCs w:val="24"/>
                <w:shd w:fill="FFFFFF" w:val="clear"/>
              </w:rPr>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color w:val="000000"/>
                <w:kern w:val="2"/>
                <w:sz w:val="24"/>
                <w:szCs w:val="24"/>
                <w:shd w:fill="FFFFFF" w:val="clear"/>
                <w:lang w:eastAsia="ar-SA"/>
              </w:rPr>
            </w:pPr>
            <w:r>
              <w:rPr>
                <w:color w:val="000000"/>
                <w:kern w:val="2"/>
                <w:sz w:val="24"/>
                <w:szCs w:val="24"/>
                <w:shd w:fill="FFFFFF" w:val="clear"/>
                <w:lang w:eastAsia="ar-SA"/>
              </w:rPr>
              <w:t>Участие молодёжного парламента в сдаче норм ГТО</w:t>
            </w:r>
          </w:p>
        </w:tc>
        <w:tc>
          <w:tcPr>
            <w:tcW w:w="137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01.01.2025</w:t>
            </w:r>
          </w:p>
          <w:p>
            <w:pPr>
              <w:pStyle w:val="Normal"/>
              <w:widowControl w:val="false"/>
              <w:jc w:val="both"/>
              <w:rPr>
                <w:kern w:val="2"/>
                <w:sz w:val="24"/>
                <w:szCs w:val="24"/>
                <w:shd w:fill="FFFFFF" w:val="clear"/>
                <w:lang w:eastAsia="ar-SA"/>
              </w:rPr>
            </w:pPr>
            <w:r>
              <w:rPr>
                <w:kern w:val="2"/>
                <w:sz w:val="24"/>
                <w:szCs w:val="24"/>
                <w:shd w:fill="FFFFFF" w:val="clear"/>
                <w:lang w:eastAsia="ar-SA"/>
              </w:rPr>
            </w:r>
          </w:p>
        </w:tc>
        <w:tc>
          <w:tcPr>
            <w:tcW w:w="12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sz w:val="24"/>
                <w:szCs w:val="24"/>
                <w:shd w:fill="FFFFFF" w:val="clear"/>
              </w:rPr>
            </w:pPr>
            <w:r>
              <w:rPr>
                <w:sz w:val="24"/>
                <w:szCs w:val="24"/>
                <w:shd w:fill="FFFFFF" w:val="clear"/>
              </w:rPr>
              <w:t>Управление культуры, спорта и молодежной политики администрации Топкинского муниципального округа</w:t>
            </w:r>
          </w:p>
        </w:tc>
        <w:tc>
          <w:tcPr>
            <w:tcW w:w="464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color w:val="000000"/>
                <w:kern w:val="2"/>
                <w:sz w:val="24"/>
                <w:szCs w:val="24"/>
                <w:lang w:eastAsia="ar-SA"/>
              </w:rPr>
            </w:pPr>
            <w:r>
              <w:rPr>
                <w:color w:val="000000"/>
                <w:kern w:val="2"/>
                <w:sz w:val="24"/>
                <w:szCs w:val="24"/>
                <w:lang w:eastAsia="ar-SA"/>
              </w:rPr>
              <w:t>Увеличение количества участников сдачи норм ГТО, увеличение охвата населения ЗОЖ</w:t>
            </w:r>
          </w:p>
        </w:tc>
      </w:tr>
      <w:tr>
        <w:trPr/>
        <w:tc>
          <w:tcPr>
            <w:tcW w:w="817" w:type="dxa"/>
            <w:tcBorders>
              <w:left w:val="single" w:sz="4" w:space="0" w:color="000000"/>
              <w:bottom w:val="single" w:sz="4" w:space="0" w:color="000000"/>
              <w:right w:val="single" w:sz="4" w:space="0" w:color="000000"/>
            </w:tcBorders>
          </w:tcPr>
          <w:p>
            <w:pPr>
              <w:pStyle w:val="Normal"/>
              <w:widowControl w:val="false"/>
              <w:snapToGrid w:val="false"/>
              <w:jc w:val="both"/>
              <w:rPr>
                <w:sz w:val="24"/>
                <w:szCs w:val="24"/>
                <w:shd w:fill="FFFFFF" w:val="clear"/>
              </w:rPr>
            </w:pPr>
            <w:r>
              <w:rPr>
                <w:sz w:val="24"/>
                <w:szCs w:val="24"/>
                <w:shd w:fill="FFFFFF" w:val="clear"/>
              </w:rPr>
              <w:t>4.2</w:t>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Участие предпринимателей в спортивных мероприятиях области и округа.</w:t>
            </w:r>
          </w:p>
        </w:tc>
        <w:tc>
          <w:tcPr>
            <w:tcW w:w="137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01.01.2025</w:t>
            </w:r>
          </w:p>
          <w:p>
            <w:pPr>
              <w:pStyle w:val="Normal"/>
              <w:widowControl w:val="false"/>
              <w:jc w:val="both"/>
              <w:rPr>
                <w:kern w:val="2"/>
                <w:sz w:val="24"/>
                <w:szCs w:val="24"/>
                <w:shd w:fill="FFFFFF" w:val="clear"/>
                <w:lang w:eastAsia="ar-SA"/>
              </w:rPr>
            </w:pPr>
            <w:r>
              <w:rPr>
                <w:kern w:val="2"/>
                <w:sz w:val="24"/>
                <w:szCs w:val="24"/>
                <w:shd w:fill="FFFFFF" w:val="clear"/>
                <w:lang w:eastAsia="ar-SA"/>
              </w:rPr>
            </w:r>
          </w:p>
        </w:tc>
        <w:tc>
          <w:tcPr>
            <w:tcW w:w="12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Отдел потребительского рынка и услуг управления экономического прогноза и анализа   администрации Топкинского муниципального округа;</w:t>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pPr>
            <w:r>
              <w:rPr>
                <w:kern w:val="2"/>
                <w:sz w:val="24"/>
                <w:szCs w:val="24"/>
                <w:shd w:fill="FFFFFF" w:val="clear"/>
                <w:lang w:eastAsia="ar-SA"/>
              </w:rPr>
              <w:t>Отдел по развитию малого и среднего бизнеса</w:t>
            </w:r>
            <w:r>
              <w:rPr>
                <w:kern w:val="2"/>
                <w:sz w:val="24"/>
                <w:szCs w:val="24"/>
                <w:lang w:eastAsia="ar-SA"/>
              </w:rPr>
              <w:t xml:space="preserve"> администрации Топкинского муниципального округа;</w:t>
            </w:r>
          </w:p>
          <w:p>
            <w:pPr>
              <w:pStyle w:val="Normal"/>
              <w:widowControl w:val="false"/>
              <w:jc w:val="both"/>
              <w:rPr>
                <w:sz w:val="24"/>
                <w:szCs w:val="24"/>
              </w:rPr>
            </w:pPr>
            <w:r>
              <w:rPr>
                <w:sz w:val="24"/>
                <w:szCs w:val="24"/>
              </w:rPr>
              <w:t>Волонтеры (совет молодежного самоуправления)</w:t>
            </w:r>
          </w:p>
        </w:tc>
        <w:tc>
          <w:tcPr>
            <w:tcW w:w="464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sz w:val="24"/>
                <w:szCs w:val="24"/>
              </w:rPr>
              <w:t>Предприниматели Топкинского муниципального округа активно принимают участие в спортивной жизни области и округа.</w:t>
            </w:r>
            <w:r>
              <w:rPr>
                <w:color w:val="FF0000"/>
                <w:sz w:val="24"/>
                <w:szCs w:val="24"/>
              </w:rPr>
              <w:t xml:space="preserve"> </w:t>
            </w:r>
            <w:r>
              <w:rPr>
                <w:kern w:val="2"/>
                <w:sz w:val="24"/>
                <w:szCs w:val="24"/>
                <w:lang w:eastAsia="ar-SA"/>
              </w:rPr>
              <w:t>Ежегодно участвуют в областных зимних и летних спартакиадах среди предприятий и организаций малого и среднего бизнеса.</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4.3</w:t>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p>
            <w:pPr>
              <w:pStyle w:val="Normal"/>
              <w:widowControl w:val="false"/>
              <w:jc w:val="both"/>
              <w:rPr>
                <w:kern w:val="2"/>
                <w:sz w:val="24"/>
                <w:szCs w:val="24"/>
                <w:lang w:eastAsia="ar-SA"/>
              </w:rPr>
            </w:pPr>
            <w:r>
              <w:rPr>
                <w:kern w:val="2"/>
                <w:sz w:val="24"/>
                <w:szCs w:val="24"/>
                <w:lang w:eastAsia="ar-SA"/>
              </w:rPr>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color w:val="000000"/>
                <w:kern w:val="2"/>
                <w:sz w:val="24"/>
                <w:szCs w:val="24"/>
                <w:shd w:fill="FFFFFF" w:val="clear"/>
                <w:lang w:eastAsia="ar-SA"/>
              </w:rPr>
            </w:pPr>
            <w:r>
              <w:rPr>
                <w:color w:val="000000"/>
                <w:kern w:val="2"/>
                <w:sz w:val="24"/>
                <w:szCs w:val="24"/>
                <w:shd w:fill="FFFFFF" w:val="clear"/>
                <w:lang w:eastAsia="ar-SA"/>
              </w:rPr>
              <w:t>«Топкинский Арбат» игровая программа для взрослых и детей:</w:t>
            </w:r>
          </w:p>
          <w:p>
            <w:pPr>
              <w:pStyle w:val="ListParagraph"/>
              <w:widowControl w:val="false"/>
              <w:numPr>
                <w:ilvl w:val="0"/>
                <w:numId w:val="11"/>
              </w:numPr>
              <w:spacing w:lineRule="auto" w:line="240" w:before="0" w:after="0"/>
              <w:jc w:val="both"/>
              <w:rPr>
                <w:rFonts w:ascii="Times New Roman" w:hAnsi="Times New Roman" w:cs="Times New Roman"/>
                <w:color w:val="000000"/>
                <w:kern w:val="2"/>
                <w:sz w:val="24"/>
                <w:szCs w:val="24"/>
                <w:shd w:fill="FFFFFF" w:val="clear"/>
                <w:lang w:eastAsia="ar-SA"/>
              </w:rPr>
            </w:pPr>
            <w:r>
              <w:rPr>
                <w:rFonts w:cs="Times New Roman" w:ascii="Times New Roman" w:hAnsi="Times New Roman"/>
                <w:color w:val="000000"/>
                <w:kern w:val="2"/>
                <w:sz w:val="24"/>
                <w:szCs w:val="24"/>
                <w:shd w:fill="FFFFFF" w:val="clear"/>
                <w:lang w:eastAsia="ar-SA"/>
              </w:rPr>
              <w:t>1 июня;</w:t>
            </w:r>
          </w:p>
          <w:p>
            <w:pPr>
              <w:pStyle w:val="ListParagraph"/>
              <w:widowControl w:val="false"/>
              <w:numPr>
                <w:ilvl w:val="0"/>
                <w:numId w:val="11"/>
              </w:numPr>
              <w:spacing w:lineRule="auto" w:line="240" w:before="0" w:after="0"/>
              <w:jc w:val="both"/>
              <w:rPr>
                <w:rFonts w:ascii="Times New Roman" w:hAnsi="Times New Roman" w:cs="Times New Roman"/>
                <w:color w:val="000000"/>
                <w:kern w:val="2"/>
                <w:sz w:val="24"/>
                <w:szCs w:val="24"/>
                <w:shd w:fill="FFFFFF" w:val="clear"/>
                <w:lang w:eastAsia="ar-SA"/>
              </w:rPr>
            </w:pPr>
            <w:r>
              <w:rPr>
                <w:rFonts w:cs="Times New Roman" w:ascii="Times New Roman" w:hAnsi="Times New Roman"/>
                <w:color w:val="000000"/>
                <w:kern w:val="2"/>
                <w:sz w:val="24"/>
                <w:szCs w:val="24"/>
                <w:shd w:fill="FFFFFF" w:val="clear"/>
                <w:lang w:eastAsia="ar-SA"/>
              </w:rPr>
              <w:t>12 июня;</w:t>
            </w:r>
          </w:p>
          <w:p>
            <w:pPr>
              <w:pStyle w:val="ListParagraph"/>
              <w:widowControl w:val="false"/>
              <w:numPr>
                <w:ilvl w:val="0"/>
                <w:numId w:val="11"/>
              </w:numPr>
              <w:spacing w:lineRule="auto" w:line="240" w:before="0" w:after="0"/>
              <w:jc w:val="both"/>
              <w:rPr>
                <w:rFonts w:ascii="Times New Roman" w:hAnsi="Times New Roman" w:cs="Times New Roman"/>
                <w:color w:val="000000"/>
                <w:kern w:val="2"/>
                <w:sz w:val="24"/>
                <w:szCs w:val="24"/>
                <w:shd w:fill="FFFFFF" w:val="clear"/>
                <w:lang w:eastAsia="ar-SA"/>
              </w:rPr>
            </w:pPr>
            <w:r>
              <w:rPr>
                <w:rFonts w:cs="Times New Roman" w:ascii="Times New Roman" w:hAnsi="Times New Roman"/>
                <w:color w:val="000000"/>
                <w:kern w:val="2"/>
                <w:sz w:val="24"/>
                <w:szCs w:val="24"/>
                <w:shd w:fill="FFFFFF" w:val="clear"/>
                <w:lang w:eastAsia="ar-SA"/>
              </w:rPr>
              <w:t>В День молодёжи;</w:t>
            </w:r>
          </w:p>
          <w:p>
            <w:pPr>
              <w:pStyle w:val="ListParagraph"/>
              <w:widowControl w:val="false"/>
              <w:numPr>
                <w:ilvl w:val="0"/>
                <w:numId w:val="11"/>
              </w:numPr>
              <w:spacing w:lineRule="auto" w:line="240" w:before="0" w:after="0"/>
              <w:jc w:val="both"/>
              <w:rPr>
                <w:rFonts w:ascii="Times New Roman" w:hAnsi="Times New Roman" w:cs="Times New Roman"/>
                <w:color w:val="000000"/>
                <w:kern w:val="2"/>
                <w:sz w:val="24"/>
                <w:szCs w:val="24"/>
                <w:shd w:fill="FFFFFF" w:val="clear"/>
                <w:lang w:eastAsia="ar-SA"/>
              </w:rPr>
            </w:pPr>
            <w:r>
              <w:rPr>
                <w:rFonts w:cs="Times New Roman" w:ascii="Times New Roman" w:hAnsi="Times New Roman"/>
                <w:color w:val="000000"/>
                <w:kern w:val="2"/>
                <w:sz w:val="24"/>
                <w:szCs w:val="24"/>
                <w:shd w:fill="FFFFFF" w:val="clear"/>
                <w:lang w:eastAsia="ar-SA"/>
              </w:rPr>
              <w:t>В День инвалида;</w:t>
            </w:r>
          </w:p>
          <w:p>
            <w:pPr>
              <w:pStyle w:val="ListParagraph"/>
              <w:widowControl w:val="false"/>
              <w:numPr>
                <w:ilvl w:val="0"/>
                <w:numId w:val="11"/>
              </w:numPr>
              <w:spacing w:lineRule="auto" w:line="240" w:before="0" w:after="0"/>
              <w:jc w:val="both"/>
              <w:rPr>
                <w:rFonts w:ascii="Times New Roman" w:hAnsi="Times New Roman" w:cs="Times New Roman"/>
                <w:color w:val="000000"/>
                <w:kern w:val="2"/>
                <w:sz w:val="24"/>
                <w:szCs w:val="24"/>
                <w:shd w:fill="FFFFFF" w:val="clear"/>
                <w:lang w:eastAsia="ar-SA"/>
              </w:rPr>
            </w:pPr>
            <w:r>
              <w:rPr>
                <w:rFonts w:cs="Times New Roman" w:ascii="Times New Roman" w:hAnsi="Times New Roman"/>
                <w:color w:val="000000"/>
                <w:kern w:val="2"/>
                <w:sz w:val="24"/>
                <w:szCs w:val="24"/>
                <w:shd w:fill="FFFFFF" w:val="clear"/>
                <w:lang w:eastAsia="ar-SA"/>
              </w:rPr>
              <w:t>В День единения;</w:t>
            </w:r>
          </w:p>
          <w:p>
            <w:pPr>
              <w:pStyle w:val="ListParagraph"/>
              <w:widowControl w:val="false"/>
              <w:numPr>
                <w:ilvl w:val="0"/>
                <w:numId w:val="11"/>
              </w:numPr>
              <w:spacing w:lineRule="auto" w:line="240" w:before="0" w:after="0"/>
              <w:jc w:val="both"/>
              <w:rPr>
                <w:rFonts w:ascii="Times New Roman" w:hAnsi="Times New Roman" w:cs="Times New Roman"/>
                <w:color w:val="000000"/>
                <w:kern w:val="2"/>
                <w:sz w:val="24"/>
                <w:szCs w:val="24"/>
                <w:shd w:fill="FFFFFF" w:val="clear"/>
                <w:lang w:eastAsia="ar-SA"/>
              </w:rPr>
            </w:pPr>
            <w:r>
              <w:rPr>
                <w:rFonts w:cs="Times New Roman" w:ascii="Times New Roman" w:hAnsi="Times New Roman"/>
                <w:color w:val="000000"/>
                <w:kern w:val="2"/>
                <w:sz w:val="24"/>
                <w:szCs w:val="24"/>
                <w:shd w:fill="FFFFFF" w:val="clear"/>
                <w:lang w:eastAsia="ar-SA"/>
              </w:rPr>
              <w:t>В День знаний;</w:t>
            </w:r>
          </w:p>
          <w:p>
            <w:pPr>
              <w:pStyle w:val="ListParagraph"/>
              <w:widowControl w:val="false"/>
              <w:numPr>
                <w:ilvl w:val="0"/>
                <w:numId w:val="11"/>
              </w:numPr>
              <w:spacing w:lineRule="auto" w:line="240" w:before="0" w:after="0"/>
              <w:jc w:val="both"/>
              <w:rPr>
                <w:rFonts w:ascii="Times New Roman" w:hAnsi="Times New Roman" w:cs="Times New Roman"/>
                <w:color w:val="000000"/>
                <w:kern w:val="2"/>
                <w:sz w:val="24"/>
                <w:szCs w:val="24"/>
                <w:shd w:fill="FFFFFF" w:val="clear"/>
                <w:lang w:eastAsia="ar-SA"/>
              </w:rPr>
            </w:pPr>
            <w:r>
              <w:rPr>
                <w:rFonts w:cs="Times New Roman" w:ascii="Times New Roman" w:hAnsi="Times New Roman"/>
                <w:color w:val="000000"/>
                <w:kern w:val="2"/>
                <w:sz w:val="24"/>
                <w:szCs w:val="24"/>
                <w:shd w:fill="FFFFFF" w:val="clear"/>
                <w:lang w:eastAsia="ar-SA"/>
              </w:rPr>
              <w:t>Зимние забавы;</w:t>
            </w:r>
          </w:p>
        </w:tc>
        <w:tc>
          <w:tcPr>
            <w:tcW w:w="137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sz w:val="24"/>
                <w:szCs w:val="24"/>
                <w:shd w:fill="FFFFFF" w:val="clear"/>
              </w:rPr>
            </w:pPr>
            <w:r>
              <w:rPr>
                <w:sz w:val="24"/>
                <w:szCs w:val="24"/>
                <w:shd w:fill="FFFFFF" w:val="clear"/>
              </w:rPr>
              <w:t>Управление культуры, спорта и молодежной политики администрации Топкинского муниципального округа;</w:t>
            </w:r>
          </w:p>
          <w:p>
            <w:pPr>
              <w:pStyle w:val="Normal"/>
              <w:widowControl w:val="false"/>
              <w:jc w:val="both"/>
              <w:rPr>
                <w:sz w:val="24"/>
                <w:szCs w:val="24"/>
              </w:rPr>
            </w:pPr>
            <w:r>
              <w:rPr>
                <w:sz w:val="24"/>
                <w:szCs w:val="24"/>
              </w:rPr>
              <w:t>Волонтеры (ветераны, молодежь)</w:t>
            </w:r>
          </w:p>
        </w:tc>
        <w:tc>
          <w:tcPr>
            <w:tcW w:w="464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color w:val="000000"/>
                <w:kern w:val="2"/>
                <w:sz w:val="24"/>
                <w:szCs w:val="24"/>
                <w:lang w:eastAsia="ar-SA"/>
              </w:rPr>
            </w:pPr>
            <w:r>
              <w:rPr>
                <w:color w:val="000000"/>
                <w:kern w:val="2"/>
                <w:sz w:val="24"/>
                <w:szCs w:val="24"/>
                <w:lang w:eastAsia="ar-SA"/>
              </w:rPr>
              <w:t>Проведение спортивно-массовых мероприятий.</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4.4</w:t>
            </w:r>
          </w:p>
        </w:tc>
        <w:tc>
          <w:tcPr>
            <w:tcW w:w="411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color w:val="000000"/>
                <w:kern w:val="2"/>
                <w:sz w:val="24"/>
                <w:szCs w:val="24"/>
                <w:shd w:fill="FFFFFF" w:val="clear"/>
                <w:lang w:eastAsia="ar-SA"/>
              </w:rPr>
            </w:pPr>
            <w:r>
              <w:rPr>
                <w:color w:val="000000"/>
                <w:kern w:val="2"/>
                <w:sz w:val="24"/>
                <w:szCs w:val="24"/>
                <w:shd w:fill="FFFFFF" w:val="clear"/>
                <w:lang w:eastAsia="ar-SA"/>
              </w:rPr>
              <w:t xml:space="preserve">Проведение турслета педагогов </w:t>
            </w:r>
          </w:p>
        </w:tc>
        <w:tc>
          <w:tcPr>
            <w:tcW w:w="1371"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shd w:fill="FFFFFF" w:val="clear"/>
                <w:lang w:eastAsia="ar-SA"/>
              </w:rPr>
            </w:pPr>
            <w:r>
              <w:rPr>
                <w:kern w:val="2"/>
                <w:sz w:val="24"/>
                <w:szCs w:val="24"/>
                <w:shd w:fill="FFFFFF" w:val="clear"/>
                <w:lang w:eastAsia="ar-SA"/>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pPr>
            <w:r>
              <w:rPr>
                <w:kern w:val="2"/>
                <w:sz w:val="24"/>
                <w:szCs w:val="24"/>
                <w:shd w:fill="FFFFFF" w:val="clear"/>
                <w:lang w:eastAsia="ar-SA"/>
              </w:rPr>
              <w:t xml:space="preserve">Управление образования </w:t>
            </w:r>
            <w:r>
              <w:rPr>
                <w:sz w:val="24"/>
                <w:szCs w:val="24"/>
                <w:shd w:fill="FFFFFF" w:val="clear"/>
              </w:rPr>
              <w:t>администрации Топкинского муниципального округа</w:t>
            </w:r>
          </w:p>
        </w:tc>
        <w:tc>
          <w:tcPr>
            <w:tcW w:w="4648" w:type="dxa"/>
            <w:tcBorders>
              <w:top w:val="single" w:sz="4" w:space="0" w:color="000000"/>
              <w:left w:val="single" w:sz="4" w:space="0" w:color="000000"/>
              <w:bottom w:val="single" w:sz="4" w:space="0" w:color="000000"/>
              <w:right w:val="single" w:sz="4" w:space="0" w:color="000000"/>
            </w:tcBorders>
          </w:tcPr>
          <w:p>
            <w:pPr>
              <w:pStyle w:val="Normal"/>
              <w:widowControl w:val="false"/>
              <w:jc w:val="both"/>
              <w:rPr>
                <w:kern w:val="2"/>
                <w:sz w:val="24"/>
                <w:szCs w:val="24"/>
                <w:lang w:eastAsia="ar-SA"/>
              </w:rPr>
            </w:pPr>
            <w:r>
              <w:rPr>
                <w:kern w:val="2"/>
                <w:sz w:val="24"/>
                <w:szCs w:val="24"/>
                <w:lang w:eastAsia="ar-SA"/>
              </w:rPr>
              <w:t>Проведение мероприятий, направленных на повышение уровня здоровья сотрудников и формирование здоровьесберегающей среды.</w:t>
            </w:r>
          </w:p>
        </w:tc>
      </w:tr>
      <w:tr>
        <w:trPr/>
        <w:tc>
          <w:tcPr>
            <w:tcW w:w="14850" w:type="dxa"/>
            <w:gridSpan w:val="6"/>
            <w:tcBorders>
              <w:top w:val="single" w:sz="4" w:space="0" w:color="000000"/>
              <w:left w:val="single" w:sz="4" w:space="0" w:color="000000"/>
              <w:bottom w:val="single" w:sz="4" w:space="0" w:color="000000"/>
              <w:right w:val="single" w:sz="4" w:space="0" w:color="000000"/>
            </w:tcBorders>
          </w:tcPr>
          <w:p>
            <w:pPr>
              <w:pStyle w:val="Normal"/>
              <w:widowControl w:val="false"/>
              <w:jc w:val="both"/>
              <w:rPr>
                <w:b/>
                <w:b/>
                <w:bCs/>
                <w:color w:val="000000"/>
                <w:sz w:val="24"/>
                <w:szCs w:val="24"/>
              </w:rPr>
            </w:pPr>
            <w:r>
              <w:rPr>
                <w:b/>
                <w:bCs/>
                <w:color w:val="000000"/>
                <w:sz w:val="24"/>
                <w:szCs w:val="24"/>
              </w:rPr>
              <w:t xml:space="preserve">5.  Мероприятия по охране репродуктивного здоровья населения </w:t>
            </w:r>
          </w:p>
        </w:tc>
      </w:tr>
      <w:tr>
        <w:trPr/>
        <w:tc>
          <w:tcPr>
            <w:tcW w:w="817" w:type="dxa"/>
            <w:tcBorders>
              <w:top w:val="single" w:sz="4" w:space="0" w:color="000000"/>
              <w:left w:val="single" w:sz="4" w:space="0" w:color="000000"/>
              <w:right w:val="single" w:sz="4" w:space="0" w:color="000000"/>
            </w:tcBorders>
          </w:tcPr>
          <w:p>
            <w:pPr>
              <w:pStyle w:val="Normal"/>
              <w:jc w:val="both"/>
              <w:rPr>
                <w:sz w:val="24"/>
                <w:szCs w:val="24"/>
              </w:rPr>
            </w:pPr>
            <w:r>
              <w:rPr>
                <w:sz w:val="24"/>
                <w:szCs w:val="24"/>
              </w:rPr>
              <w:t>5.1</w:t>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sz w:val="24"/>
                <w:szCs w:val="24"/>
              </w:rPr>
            </w:pPr>
            <w:r>
              <w:rPr>
                <w:sz w:val="24"/>
                <w:szCs w:val="24"/>
              </w:rPr>
            </w:r>
          </w:p>
          <w:p>
            <w:pPr>
              <w:pStyle w:val="Normal"/>
              <w:jc w:val="both"/>
              <w:rPr>
                <w:color w:val="000000"/>
                <w:sz w:val="24"/>
                <w:szCs w:val="24"/>
                <w:shd w:fill="FFFFFF" w:val="clear"/>
              </w:rPr>
            </w:pPr>
            <w:r>
              <w:rPr>
                <w:color w:val="000000"/>
                <w:sz w:val="24"/>
                <w:szCs w:val="24"/>
                <w:shd w:fill="FFFFFF" w:val="clear"/>
              </w:rPr>
            </w:r>
          </w:p>
        </w:tc>
        <w:tc>
          <w:tcPr>
            <w:tcW w:w="4111" w:type="dxa"/>
            <w:tcBorders>
              <w:top w:val="single" w:sz="4" w:space="0" w:color="000000"/>
              <w:left w:val="single" w:sz="4" w:space="0" w:color="000000"/>
              <w:bottom w:val="single" w:sz="4" w:space="0" w:color="000000"/>
              <w:right w:val="single" w:sz="4" w:space="0" w:color="000000"/>
            </w:tcBorders>
          </w:tcPr>
          <w:p>
            <w:pPr>
              <w:pStyle w:val="Normal"/>
              <w:shd w:fill="FFFFFF" w:val="clear"/>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jc w:val="both"/>
              <w:rPr>
                <w:color w:val="000000"/>
                <w:sz w:val="24"/>
                <w:szCs w:val="24"/>
                <w:shd w:fill="FFFFFF" w:val="clear"/>
              </w:rPr>
            </w:pPr>
            <w:r>
              <w:rPr>
                <w:color w:val="000000"/>
                <w:sz w:val="24"/>
                <w:szCs w:val="24"/>
                <w:shd w:fill="FFFFFF" w:val="clear"/>
              </w:rPr>
              <w:t>Проведение ежегодных акций, приуроченных ко «Дню семьи, любви и верности»</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Управление культуры, спорта и молодежной политики администрации Топкинского муниципального округа;</w:t>
            </w:r>
          </w:p>
          <w:p>
            <w:pPr>
              <w:pStyle w:val="Normal"/>
              <w:jc w:val="both"/>
              <w:rPr>
                <w:sz w:val="24"/>
                <w:szCs w:val="24"/>
              </w:rPr>
            </w:pPr>
            <w:r>
              <w:rPr>
                <w:sz w:val="24"/>
                <w:szCs w:val="24"/>
              </w:rPr>
              <w:t>Волонтеры (совет молодежного самоуправления)</w:t>
            </w:r>
          </w:p>
        </w:tc>
        <w:tc>
          <w:tcPr>
            <w:tcW w:w="4648"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Проведение ежегодных акции на территории Топкинского муниципального округа</w:t>
            </w:r>
          </w:p>
          <w:p>
            <w:pPr>
              <w:pStyle w:val="Normal"/>
              <w:jc w:val="both"/>
              <w:rPr>
                <w:sz w:val="24"/>
                <w:szCs w:val="24"/>
              </w:rPr>
            </w:pPr>
            <w:r>
              <w:rPr>
                <w:sz w:val="24"/>
                <w:szCs w:val="24"/>
              </w:rPr>
            </w:r>
          </w:p>
          <w:p>
            <w:pPr>
              <w:pStyle w:val="Normal"/>
              <w:jc w:val="both"/>
              <w:rPr>
                <w:sz w:val="24"/>
                <w:szCs w:val="24"/>
              </w:rPr>
            </w:pPr>
            <w:r>
              <w:rPr>
                <w:sz w:val="24"/>
                <w:szCs w:val="24"/>
              </w:rPr>
            </w:r>
          </w:p>
        </w:tc>
      </w:tr>
      <w:tr>
        <w:trPr>
          <w:trHeight w:val="1390" w:hRule="atLeast"/>
        </w:trPr>
        <w:tc>
          <w:tcPr>
            <w:tcW w:w="817" w:type="dxa"/>
            <w:tcBorders>
              <w:left w:val="single" w:sz="4" w:space="0" w:color="000000"/>
              <w:bottom w:val="single" w:sz="4" w:space="0" w:color="000000"/>
              <w:right w:val="single" w:sz="4" w:space="0" w:color="000000"/>
            </w:tcBorders>
          </w:tcPr>
          <w:p>
            <w:pPr>
              <w:pStyle w:val="Normal"/>
              <w:jc w:val="both"/>
              <w:rPr>
                <w:sz w:val="24"/>
                <w:szCs w:val="24"/>
              </w:rPr>
            </w:pPr>
            <w:r>
              <w:rPr>
                <w:sz w:val="24"/>
                <w:szCs w:val="24"/>
              </w:rPr>
              <w:t>5.2</w:t>
            </w:r>
          </w:p>
          <w:p>
            <w:pPr>
              <w:pStyle w:val="Normal"/>
              <w:snapToGrid w:val="false"/>
              <w:jc w:val="both"/>
              <w:rPr>
                <w:color w:val="000000"/>
                <w:kern w:val="2"/>
                <w:sz w:val="24"/>
                <w:szCs w:val="24"/>
                <w:shd w:fill="FFFFFF" w:val="clear"/>
                <w:lang w:eastAsia="ar-SA"/>
              </w:rPr>
            </w:pPr>
            <w:r>
              <w:rPr>
                <w:color w:val="000000"/>
                <w:kern w:val="2"/>
                <w:sz w:val="24"/>
                <w:szCs w:val="24"/>
                <w:shd w:fill="FFFFFF" w:val="clear"/>
                <w:lang w:eastAsia="ar-SA"/>
              </w:rPr>
            </w:r>
          </w:p>
        </w:tc>
        <w:tc>
          <w:tcPr>
            <w:tcW w:w="4111" w:type="dxa"/>
            <w:tcBorders>
              <w:top w:val="single" w:sz="4" w:space="0" w:color="000000"/>
              <w:left w:val="single" w:sz="4" w:space="0" w:color="000000"/>
              <w:bottom w:val="single" w:sz="4" w:space="0" w:color="000000"/>
              <w:right w:val="single" w:sz="4" w:space="0" w:color="000000"/>
            </w:tcBorders>
          </w:tcPr>
          <w:p>
            <w:pPr>
              <w:pStyle w:val="Normal"/>
              <w:shd w:fill="FFFFFF" w:val="clear"/>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jc w:val="both"/>
              <w:rPr>
                <w:color w:val="000000"/>
                <w:sz w:val="24"/>
                <w:szCs w:val="24"/>
                <w:shd w:fill="FFFFFF" w:val="clear"/>
              </w:rPr>
            </w:pPr>
            <w:r>
              <w:rPr>
                <w:color w:val="000000"/>
                <w:sz w:val="24"/>
                <w:szCs w:val="24"/>
                <w:shd w:fill="FFFFFF" w:val="clear"/>
              </w:rPr>
              <w:t>Проведение плановых профилактических осмотров детей и подростков с целью ранней диагностики и профилактики заболеваний репродуктивной сферы</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01.01. 2025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jc w:val="both"/>
              <w:rPr/>
            </w:pPr>
            <w:r>
              <w:rPr>
                <w:color w:val="000000"/>
                <w:sz w:val="24"/>
                <w:szCs w:val="24"/>
              </w:rPr>
              <w:t xml:space="preserve">ТФ ГАУЗ ККГВВ </w:t>
            </w:r>
            <w:r>
              <w:rPr>
                <w:sz w:val="24"/>
                <w:szCs w:val="24"/>
              </w:rPr>
              <w:t>(по согласованию</w:t>
            </w:r>
            <w:r>
              <w:rPr>
                <w:sz w:val="24"/>
                <w:szCs w:val="24"/>
                <w:shd w:fill="FFFFFF" w:val="clear"/>
              </w:rPr>
              <w:t>)</w:t>
            </w:r>
          </w:p>
        </w:tc>
        <w:tc>
          <w:tcPr>
            <w:tcW w:w="4648"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sz w:val="24"/>
                <w:szCs w:val="24"/>
              </w:rPr>
            </w:pPr>
            <w:r>
              <w:rPr>
                <w:sz w:val="24"/>
                <w:szCs w:val="24"/>
              </w:rPr>
              <w:t>Проведены плановые профилактические медицинские осмотры детей (Приказ МЗ РФ от 10.08.2017 № 514н) с достижением плановых показателей охвата.</w:t>
            </w:r>
          </w:p>
        </w:tc>
      </w:tr>
      <w:tr>
        <w:trPr/>
        <w:tc>
          <w:tcPr>
            <w:tcW w:w="14850" w:type="dxa"/>
            <w:gridSpan w:val="6"/>
            <w:tcBorders>
              <w:top w:val="single" w:sz="4" w:space="0" w:color="000000"/>
              <w:left w:val="single" w:sz="4" w:space="0" w:color="000000"/>
              <w:bottom w:val="single" w:sz="4" w:space="0" w:color="000000"/>
              <w:right w:val="single" w:sz="4" w:space="0" w:color="000000"/>
            </w:tcBorders>
          </w:tcPr>
          <w:p>
            <w:pPr>
              <w:pStyle w:val="Normal"/>
              <w:rPr>
                <w:b/>
                <w:b/>
                <w:bCs/>
                <w:color w:val="000000"/>
                <w:sz w:val="24"/>
                <w:szCs w:val="24"/>
              </w:rPr>
            </w:pPr>
            <w:r>
              <w:rPr>
                <w:b/>
                <w:bCs/>
                <w:color w:val="000000"/>
                <w:sz w:val="24"/>
                <w:szCs w:val="24"/>
              </w:rPr>
              <w:t>6.  Мероприятия по реализации профилактических стоматологических программ</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bCs/>
                <w:kern w:val="2"/>
                <w:sz w:val="24"/>
                <w:szCs w:val="24"/>
                <w:lang w:eastAsia="ar-SA"/>
              </w:rPr>
            </w:pPr>
            <w:r>
              <w:rPr>
                <w:bCs/>
                <w:kern w:val="2"/>
                <w:sz w:val="24"/>
                <w:szCs w:val="24"/>
                <w:lang w:eastAsia="ar-SA"/>
              </w:rPr>
            </w:r>
          </w:p>
          <w:p>
            <w:pPr>
              <w:pStyle w:val="Normal"/>
              <w:jc w:val="both"/>
              <w:rPr>
                <w:bCs/>
                <w:kern w:val="2"/>
                <w:sz w:val="24"/>
                <w:szCs w:val="24"/>
                <w:lang w:eastAsia="ar-SA"/>
              </w:rPr>
            </w:pPr>
            <w:r>
              <w:rPr>
                <w:bCs/>
                <w:kern w:val="2"/>
                <w:sz w:val="24"/>
                <w:szCs w:val="24"/>
                <w:lang w:eastAsia="ar-SA"/>
              </w:rPr>
            </w:r>
          </w:p>
          <w:p>
            <w:pPr>
              <w:pStyle w:val="Normal"/>
              <w:jc w:val="both"/>
              <w:rPr>
                <w:sz w:val="24"/>
                <w:szCs w:val="24"/>
              </w:rPr>
            </w:pPr>
            <w:r>
              <w:rPr>
                <w:sz w:val="24"/>
                <w:szCs w:val="24"/>
              </w:rPr>
              <w:t>6.1</w:t>
            </w:r>
          </w:p>
          <w:p>
            <w:pPr>
              <w:pStyle w:val="Normal"/>
              <w:jc w:val="both"/>
              <w:rPr>
                <w:sz w:val="24"/>
                <w:szCs w:val="24"/>
              </w:rPr>
            </w:pPr>
            <w:r>
              <w:rPr>
                <w:sz w:val="24"/>
                <w:szCs w:val="24"/>
              </w:rPr>
            </w:r>
          </w:p>
        </w:tc>
        <w:tc>
          <w:tcPr>
            <w:tcW w:w="411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Проведение образовательных групповых (лекции, уроки, мастер-классы и т.п.) и индивидуальных мероприятий по профилактике стоматологических заболеваний среди населения Топкинского муниципального округа</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jc w:val="both"/>
              <w:rPr/>
            </w:pPr>
            <w:r>
              <w:rPr>
                <w:color w:val="000000"/>
                <w:sz w:val="24"/>
                <w:szCs w:val="24"/>
              </w:rPr>
              <w:t xml:space="preserve">ТФ ГБУЗ ККГВВ, филиал областной стоматологии </w:t>
            </w:r>
            <w:r>
              <w:rPr>
                <w:sz w:val="24"/>
                <w:szCs w:val="24"/>
              </w:rPr>
              <w:t>(по согласованию)</w:t>
            </w:r>
          </w:p>
        </w:tc>
        <w:tc>
          <w:tcPr>
            <w:tcW w:w="4648"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sz w:val="24"/>
                <w:szCs w:val="24"/>
              </w:rPr>
            </w:pPr>
            <w:r>
              <w:rPr>
                <w:sz w:val="24"/>
                <w:szCs w:val="24"/>
              </w:rPr>
              <w:t xml:space="preserve">Проведены образовательные групповые (лекции, уроки, мастер-классы и т.п.) и индивидуальные мероприятия по профилактике стоматологических заболеваний на территории Топкинского муниципального округа </w:t>
            </w:r>
          </w:p>
        </w:tc>
      </w:tr>
      <w:tr>
        <w:trPr/>
        <w:tc>
          <w:tcPr>
            <w:tcW w:w="14850" w:type="dxa"/>
            <w:gridSpan w:val="6"/>
            <w:tcBorders>
              <w:top w:val="single" w:sz="4" w:space="0" w:color="000000"/>
              <w:left w:val="single" w:sz="4" w:space="0" w:color="000000"/>
              <w:bottom w:val="single" w:sz="4" w:space="0" w:color="000000"/>
              <w:right w:val="single" w:sz="4" w:space="0" w:color="000000"/>
            </w:tcBorders>
          </w:tcPr>
          <w:p>
            <w:pPr>
              <w:pStyle w:val="Normal"/>
              <w:snapToGrid w:val="false"/>
              <w:jc w:val="both"/>
              <w:rPr/>
            </w:pPr>
            <w:r>
              <w:rPr>
                <w:b/>
                <w:kern w:val="2"/>
                <w:sz w:val="24"/>
                <w:szCs w:val="24"/>
                <w:lang w:eastAsia="ar-SA"/>
              </w:rPr>
              <w:t xml:space="preserve">7. </w:t>
            </w:r>
            <w:r>
              <w:rPr>
                <w:rFonts w:eastAsia="Andale Sans UI;Arial Unicode MS"/>
                <w:b/>
                <w:kern w:val="2"/>
                <w:sz w:val="24"/>
                <w:szCs w:val="24"/>
                <w:lang w:eastAsia="ar-SA"/>
              </w:rPr>
              <w:t>Мероприятия, направленные на увеличение физической активности населением</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kern w:val="2"/>
                <w:sz w:val="24"/>
                <w:szCs w:val="24"/>
                <w:lang w:eastAsia="ar-SA"/>
              </w:rPr>
            </w:pPr>
            <w:r>
              <w:rPr>
                <w:kern w:val="2"/>
                <w:sz w:val="24"/>
                <w:szCs w:val="24"/>
                <w:lang w:eastAsia="ar-SA"/>
              </w:rPr>
              <w:t>7.1</w:t>
            </w:r>
          </w:p>
        </w:tc>
        <w:tc>
          <w:tcPr>
            <w:tcW w:w="4111" w:type="dxa"/>
            <w:tcBorders>
              <w:top w:val="single" w:sz="4" w:space="0" w:color="000000"/>
              <w:left w:val="single" w:sz="4" w:space="0" w:color="000000"/>
              <w:bottom w:val="single" w:sz="4" w:space="0" w:color="000000"/>
              <w:right w:val="single" w:sz="4" w:space="0" w:color="000000"/>
            </w:tcBorders>
          </w:tcPr>
          <w:p>
            <w:pPr>
              <w:pStyle w:val="Normal"/>
              <w:jc w:val="both"/>
              <w:rPr>
                <w:rFonts w:eastAsia="Andale Sans UI;Arial Unicode MS"/>
                <w:kern w:val="2"/>
                <w:sz w:val="24"/>
                <w:szCs w:val="24"/>
                <w:lang w:eastAsia="ar-SA"/>
              </w:rPr>
            </w:pPr>
            <w:r>
              <w:rPr>
                <w:rFonts w:eastAsia="Andale Sans UI;Arial Unicode MS"/>
                <w:kern w:val="2"/>
                <w:sz w:val="24"/>
                <w:szCs w:val="24"/>
                <w:lang w:eastAsia="ar-SA"/>
              </w:rPr>
              <w:t>Проведение массовых и групповых физкультурно-спортивных мероприятий (соревнование, турнир, забег, первенство, олимпиада, игры и пр.), среди населения по профилактике гиподинамии, с привлечением волонтерских и социально ориентированных некоммерческих организаций</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Управление образования администрации Топкинского муниципального округа;</w:t>
            </w:r>
          </w:p>
          <w:p>
            <w:pPr>
              <w:pStyle w:val="Normal"/>
              <w:rPr>
                <w:sz w:val="24"/>
                <w:szCs w:val="24"/>
              </w:rPr>
            </w:pPr>
            <w:r>
              <w:rPr>
                <w:sz w:val="24"/>
                <w:szCs w:val="24"/>
              </w:rPr>
              <w:t>Управление культуры, спорта и молодёжной политики администрации Топкинского муниципального округа;</w:t>
            </w:r>
          </w:p>
          <w:p>
            <w:pPr>
              <w:pStyle w:val="Normal"/>
              <w:rPr>
                <w:sz w:val="24"/>
                <w:szCs w:val="24"/>
              </w:rPr>
            </w:pPr>
            <w:r>
              <w:rPr>
                <w:sz w:val="24"/>
                <w:szCs w:val="24"/>
              </w:rPr>
              <w:t>Комитет социальной защиты населения администрации Топкинского муниципального округа;</w:t>
            </w:r>
          </w:p>
          <w:p>
            <w:pPr>
              <w:pStyle w:val="Normal"/>
              <w:rPr>
                <w:sz w:val="24"/>
                <w:szCs w:val="24"/>
              </w:rPr>
            </w:pPr>
            <w:r>
              <w:rPr>
                <w:sz w:val="24"/>
                <w:szCs w:val="24"/>
              </w:rPr>
              <w:t>ТФ ГАУЗ ККГВВ Топкинский филиал (по согласованию);</w:t>
            </w:r>
          </w:p>
          <w:p>
            <w:pPr>
              <w:pStyle w:val="Normal"/>
              <w:rPr>
                <w:sz w:val="24"/>
                <w:szCs w:val="24"/>
              </w:rPr>
            </w:pPr>
            <w:r>
              <w:rPr>
                <w:sz w:val="24"/>
                <w:szCs w:val="24"/>
              </w:rPr>
              <w:t>Волонтеры (ветераны, молодежь)</w:t>
            </w:r>
          </w:p>
        </w:tc>
        <w:tc>
          <w:tcPr>
            <w:tcW w:w="4648"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pPr>
            <w:r>
              <w:rPr>
                <w:rFonts w:eastAsia="Andale Sans UI;Arial Unicode MS"/>
                <w:kern w:val="2"/>
                <w:sz w:val="24"/>
                <w:szCs w:val="24"/>
                <w:lang w:eastAsia="ar-SA"/>
              </w:rPr>
              <w:t xml:space="preserve">Проведение массовых и групповых физкультурно-спортивных мероприятий на территории Топкинского муниципального округа </w:t>
            </w:r>
            <w:r>
              <w:rPr>
                <w:kern w:val="2"/>
                <w:sz w:val="24"/>
                <w:szCs w:val="24"/>
                <w:lang w:eastAsia="ar-SA"/>
              </w:rPr>
              <w:t>с привлечением общественных организаций, волонтерских движений, некоммерческих организаций</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bCs/>
                <w:kern w:val="2"/>
                <w:sz w:val="24"/>
                <w:szCs w:val="24"/>
                <w:lang w:eastAsia="ar-SA"/>
              </w:rPr>
            </w:pPr>
            <w:r>
              <w:rPr>
                <w:bCs/>
                <w:kern w:val="2"/>
                <w:sz w:val="24"/>
                <w:szCs w:val="24"/>
                <w:lang w:eastAsia="ar-SA"/>
              </w:rPr>
              <w:t>7.2</w:t>
            </w:r>
          </w:p>
        </w:tc>
        <w:tc>
          <w:tcPr>
            <w:tcW w:w="4111" w:type="dxa"/>
            <w:tcBorders>
              <w:top w:val="single" w:sz="4" w:space="0" w:color="000000"/>
              <w:left w:val="single" w:sz="4" w:space="0" w:color="000000"/>
              <w:bottom w:val="single" w:sz="4" w:space="0" w:color="000000"/>
              <w:right w:val="single" w:sz="4" w:space="0" w:color="000000"/>
            </w:tcBorders>
          </w:tcPr>
          <w:p>
            <w:pPr>
              <w:pStyle w:val="Normal"/>
              <w:jc w:val="both"/>
              <w:rPr>
                <w:rFonts w:eastAsia="Andale Sans UI;Arial Unicode MS"/>
                <w:kern w:val="2"/>
                <w:sz w:val="24"/>
                <w:szCs w:val="24"/>
                <w:lang w:eastAsia="ar-SA"/>
              </w:rPr>
            </w:pPr>
            <w:r>
              <w:rPr>
                <w:rFonts w:eastAsia="Andale Sans UI;Arial Unicode MS"/>
                <w:kern w:val="2"/>
                <w:sz w:val="24"/>
                <w:szCs w:val="24"/>
                <w:lang w:eastAsia="ar-SA"/>
              </w:rPr>
              <w:t>Разработка методических рекомендаций по подготовке индивидуальных учебных планов по физической культуре для детей с ожирением и последующее их внедрение в образовательных организациях</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Управление образования администрации Топкинского муниципального округа;</w:t>
            </w:r>
          </w:p>
          <w:p>
            <w:pPr>
              <w:pStyle w:val="1"/>
              <w:jc w:val="both"/>
              <w:rPr/>
            </w:pPr>
            <w:r>
              <w:rPr>
                <w:b w:val="false"/>
                <w:bCs/>
                <w:color w:val="000026"/>
                <w:sz w:val="24"/>
                <w:szCs w:val="24"/>
              </w:rPr>
              <w:t>Управление культуры, спорта и молодёжной политики</w:t>
            </w:r>
            <w:r>
              <w:rPr>
                <w:b w:val="false"/>
                <w:bCs/>
                <w:sz w:val="24"/>
                <w:szCs w:val="24"/>
              </w:rPr>
              <w:t xml:space="preserve"> администрации Топкинского муниципального округа;</w:t>
            </w:r>
          </w:p>
          <w:p>
            <w:pPr>
              <w:pStyle w:val="Normal"/>
              <w:spacing w:lineRule="atLeast" w:line="200"/>
              <w:jc w:val="both"/>
              <w:rPr>
                <w:sz w:val="24"/>
                <w:szCs w:val="24"/>
              </w:rPr>
            </w:pPr>
            <w:r>
              <w:rPr>
                <w:sz w:val="24"/>
                <w:szCs w:val="24"/>
              </w:rPr>
              <w:t>ТФ ГАУЗ ККГВВ (по согласованию)</w:t>
            </w:r>
          </w:p>
        </w:tc>
        <w:tc>
          <w:tcPr>
            <w:tcW w:w="4648"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rFonts w:eastAsia="Andale Sans UI;Arial Unicode MS"/>
                <w:kern w:val="2"/>
                <w:sz w:val="24"/>
                <w:szCs w:val="24"/>
                <w:lang w:eastAsia="ar-SA"/>
              </w:rPr>
            </w:pPr>
            <w:r>
              <w:rPr>
                <w:rFonts w:eastAsia="Andale Sans UI;Arial Unicode MS"/>
                <w:kern w:val="2"/>
                <w:sz w:val="24"/>
                <w:szCs w:val="24"/>
                <w:lang w:eastAsia="ar-SA"/>
              </w:rPr>
              <w:t>Разработаны методические рекомендации по подготовке индивидуальных учебных планов по физической культуре для детей с ожирением в Топкинском муниципальном округе</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bCs/>
                <w:kern w:val="2"/>
                <w:sz w:val="24"/>
                <w:szCs w:val="24"/>
                <w:lang w:eastAsia="ar-SA"/>
              </w:rPr>
            </w:pPr>
            <w:r>
              <w:rPr>
                <w:bCs/>
                <w:kern w:val="2"/>
                <w:sz w:val="24"/>
                <w:szCs w:val="24"/>
                <w:lang w:eastAsia="ar-SA"/>
              </w:rPr>
              <w:t>7.3</w:t>
            </w:r>
          </w:p>
        </w:tc>
        <w:tc>
          <w:tcPr>
            <w:tcW w:w="4111" w:type="dxa"/>
            <w:tcBorders>
              <w:top w:val="single" w:sz="4" w:space="0" w:color="000000"/>
              <w:left w:val="single" w:sz="4" w:space="0" w:color="000000"/>
              <w:bottom w:val="single" w:sz="4" w:space="0" w:color="000000"/>
              <w:right w:val="single" w:sz="4" w:space="0" w:color="000000"/>
            </w:tcBorders>
          </w:tcPr>
          <w:p>
            <w:pPr>
              <w:pStyle w:val="Normal"/>
              <w:jc w:val="both"/>
              <w:rPr>
                <w:rFonts w:eastAsia="Andale Sans UI;Arial Unicode MS"/>
                <w:kern w:val="2"/>
                <w:sz w:val="24"/>
                <w:szCs w:val="24"/>
                <w:lang w:eastAsia="ar-SA"/>
              </w:rPr>
            </w:pPr>
            <w:r>
              <w:rPr>
                <w:rFonts w:eastAsia="Andale Sans UI;Arial Unicode MS"/>
                <w:kern w:val="2"/>
                <w:sz w:val="24"/>
                <w:szCs w:val="24"/>
                <w:lang w:eastAsia="ar-SA"/>
              </w:rPr>
              <w:t>Разработка маршрутизация детей, т.ч.: из группы риска и с избыточной массой тела, выявленных по результатам профилактических медицинских осмотров, в организации, занимающимися вопросами профилактики и формирования ЗОЖ, включая медицинские, а также организации физической культуры и спорта</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Управление образования администрации Топкинского муниципального округа;</w:t>
            </w:r>
          </w:p>
          <w:p>
            <w:pPr>
              <w:pStyle w:val="Normal"/>
              <w:rPr>
                <w:sz w:val="24"/>
                <w:szCs w:val="24"/>
              </w:rPr>
            </w:pPr>
            <w:r>
              <w:rPr>
                <w:sz w:val="24"/>
                <w:szCs w:val="24"/>
              </w:rPr>
              <w:t>Управление культуры, спорта и молодёжной политики администрации Топкинского муниципального округа;</w:t>
            </w:r>
          </w:p>
          <w:p>
            <w:pPr>
              <w:pStyle w:val="Normal"/>
              <w:jc w:val="both"/>
              <w:rPr>
                <w:sz w:val="24"/>
                <w:szCs w:val="24"/>
              </w:rPr>
            </w:pPr>
            <w:r>
              <w:rPr>
                <w:sz w:val="24"/>
                <w:szCs w:val="24"/>
              </w:rPr>
              <w:t>ТФ ГАУЗ ККГВВ (по согласованию)</w:t>
            </w:r>
          </w:p>
        </w:tc>
        <w:tc>
          <w:tcPr>
            <w:tcW w:w="4648"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rFonts w:eastAsia="Andale Sans UI;Arial Unicode MS"/>
                <w:kern w:val="2"/>
                <w:sz w:val="24"/>
                <w:szCs w:val="24"/>
                <w:lang w:eastAsia="ar-SA"/>
              </w:rPr>
            </w:pPr>
            <w:r>
              <w:rPr>
                <w:rFonts w:eastAsia="Andale Sans UI;Arial Unicode MS"/>
                <w:kern w:val="2"/>
                <w:sz w:val="24"/>
                <w:szCs w:val="24"/>
                <w:lang w:eastAsia="ar-SA"/>
              </w:rPr>
              <w:t>Разработана маршрутизация детей, т.ч.: из группы риска и с избыточной массой тела, выявленных по результатам профилактических медицинских осмотров, в организации, занимающимися вопросами профилактики и формирования ЗОЖ, включая медицинские, а также организации физической культуры и спорта</w:t>
            </w:r>
          </w:p>
        </w:tc>
      </w:tr>
      <w:tr>
        <w:trPr/>
        <w:tc>
          <w:tcPr>
            <w:tcW w:w="14850" w:type="dxa"/>
            <w:gridSpan w:val="6"/>
            <w:tcBorders>
              <w:top w:val="single" w:sz="4" w:space="0" w:color="000000"/>
              <w:left w:val="single" w:sz="4" w:space="0" w:color="000000"/>
              <w:bottom w:val="single" w:sz="4" w:space="0" w:color="000000"/>
              <w:right w:val="single" w:sz="4" w:space="0" w:color="000000"/>
            </w:tcBorders>
          </w:tcPr>
          <w:p>
            <w:pPr>
              <w:pStyle w:val="Normal"/>
              <w:snapToGrid w:val="false"/>
              <w:jc w:val="both"/>
              <w:rPr/>
            </w:pPr>
            <w:r>
              <w:rPr>
                <w:rFonts w:eastAsia="Andale Sans UI;Arial Unicode MS"/>
                <w:b/>
                <w:bCs/>
                <w:kern w:val="2"/>
                <w:sz w:val="24"/>
                <w:szCs w:val="24"/>
                <w:lang w:eastAsia="ar-SA"/>
              </w:rPr>
              <w:t>8.Мониторинг</w:t>
            </w:r>
            <w:r>
              <w:rPr>
                <w:b/>
                <w:bCs/>
                <w:color w:val="000000"/>
                <w:kern w:val="2"/>
                <w:sz w:val="24"/>
                <w:szCs w:val="24"/>
              </w:rPr>
              <w:t xml:space="preserve"> факторов риска хронических неинфекционных заболеваний</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b/>
                <w:b/>
                <w:bCs/>
                <w:kern w:val="2"/>
                <w:sz w:val="24"/>
                <w:szCs w:val="24"/>
                <w:lang w:eastAsia="ar-SA"/>
              </w:rPr>
            </w:pPr>
            <w:r>
              <w:rPr>
                <w:b/>
                <w:bCs/>
                <w:kern w:val="2"/>
                <w:sz w:val="24"/>
                <w:szCs w:val="24"/>
                <w:lang w:eastAsia="ar-SA"/>
              </w:rPr>
              <w:t>8.1</w:t>
            </w:r>
          </w:p>
        </w:tc>
        <w:tc>
          <w:tcPr>
            <w:tcW w:w="411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Организация и проведение мониторинга факторов риска хронических неинфекционных заболеваний среди трудоспособного населения (алкоголь, курение, питание, физическая активность, стресс)</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Администрация Топкинского муниципального округа;</w:t>
            </w:r>
          </w:p>
          <w:p>
            <w:pPr>
              <w:pStyle w:val="Normal"/>
              <w:jc w:val="both"/>
              <w:rPr>
                <w:sz w:val="24"/>
                <w:szCs w:val="24"/>
              </w:rPr>
            </w:pPr>
            <w:r>
              <w:rPr>
                <w:sz w:val="24"/>
                <w:szCs w:val="24"/>
              </w:rPr>
              <w:t>ГБУЗ «Кузбасский центр общественного здоровья и медицинской профилактики» (по согласованию);</w:t>
            </w:r>
          </w:p>
          <w:p>
            <w:pPr>
              <w:pStyle w:val="Normal"/>
              <w:jc w:val="both"/>
              <w:rPr>
                <w:sz w:val="24"/>
                <w:szCs w:val="24"/>
              </w:rPr>
            </w:pPr>
            <w:r>
              <w:rPr>
                <w:sz w:val="24"/>
                <w:szCs w:val="24"/>
              </w:rPr>
              <w:t>ТФ ГАУЗ ККГВВ (по согласованию)</w:t>
            </w:r>
          </w:p>
        </w:tc>
        <w:tc>
          <w:tcPr>
            <w:tcW w:w="4648"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pPr>
            <w:r>
              <w:rPr>
                <w:rFonts w:eastAsia="Andale Sans UI;Arial Unicode MS"/>
                <w:kern w:val="2"/>
                <w:sz w:val="24"/>
                <w:szCs w:val="24"/>
                <w:lang w:eastAsia="ar-SA"/>
              </w:rPr>
              <w:t xml:space="preserve">Создание постоянно действующего мониторинга </w:t>
            </w:r>
            <w:r>
              <w:rPr>
                <w:sz w:val="24"/>
                <w:szCs w:val="24"/>
              </w:rPr>
              <w:t>факторов риска хронических неинфекционных заболеваний</w:t>
            </w:r>
          </w:p>
        </w:tc>
      </w:tr>
      <w:tr>
        <w:trPr/>
        <w:tc>
          <w:tcPr>
            <w:tcW w:w="14850" w:type="dxa"/>
            <w:gridSpan w:val="6"/>
            <w:tcBorders>
              <w:top w:val="single" w:sz="4" w:space="0" w:color="000000"/>
              <w:left w:val="single" w:sz="4" w:space="0" w:color="000000"/>
              <w:bottom w:val="single" w:sz="4" w:space="0" w:color="000000"/>
              <w:right w:val="single" w:sz="4" w:space="0" w:color="000000"/>
            </w:tcBorders>
          </w:tcPr>
          <w:p>
            <w:pPr>
              <w:pStyle w:val="Normal"/>
              <w:rPr/>
            </w:pPr>
            <w:r>
              <w:rPr>
                <w:rFonts w:eastAsia="Andale Sans UI;Arial Unicode MS"/>
                <w:b/>
                <w:bCs/>
                <w:sz w:val="24"/>
                <w:szCs w:val="24"/>
              </w:rPr>
              <w:t xml:space="preserve">9. </w:t>
            </w:r>
            <w:r>
              <w:rPr>
                <w:rFonts w:eastAsia="Calibri"/>
                <w:b/>
                <w:bCs/>
                <w:sz w:val="24"/>
                <w:szCs w:val="24"/>
              </w:rPr>
              <w:t>Создание здоровьесберегающей среды (организации спорта, парки и т.д.)</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kern w:val="2"/>
                <w:sz w:val="24"/>
                <w:szCs w:val="24"/>
                <w:lang w:eastAsia="ar-SA"/>
              </w:rPr>
            </w:pPr>
            <w:r>
              <w:rPr>
                <w:kern w:val="2"/>
                <w:sz w:val="24"/>
                <w:szCs w:val="24"/>
                <w:lang w:eastAsia="ar-SA"/>
              </w:rPr>
              <w:t>9.1</w:t>
            </w:r>
          </w:p>
        </w:tc>
        <w:tc>
          <w:tcPr>
            <w:tcW w:w="411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 xml:space="preserve">Ремонт, строительство и реконструкция объектов спорта, обустройство игровых и спортивных площадок, парков и скверов. </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Администрация Топкинского муниципального округа</w:t>
            </w:r>
          </w:p>
        </w:tc>
        <w:tc>
          <w:tcPr>
            <w:tcW w:w="4648"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pPr>
            <w:r>
              <w:rPr>
                <w:rFonts w:eastAsia="Andale Sans UI;Arial Unicode MS"/>
                <w:kern w:val="2"/>
                <w:sz w:val="24"/>
                <w:szCs w:val="24"/>
                <w:lang w:eastAsia="ar-SA"/>
              </w:rPr>
              <w:t>Ремонт не менее одного</w:t>
            </w:r>
            <w:r>
              <w:rPr>
                <w:rFonts w:eastAsia="Andale Sans UI;Arial Unicode MS"/>
                <w:sz w:val="24"/>
                <w:szCs w:val="24"/>
              </w:rPr>
              <w:t xml:space="preserve"> объекта спорта</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bCs/>
                <w:kern w:val="2"/>
                <w:sz w:val="24"/>
                <w:szCs w:val="24"/>
                <w:lang w:eastAsia="ar-SA"/>
              </w:rPr>
            </w:pPr>
            <w:r>
              <w:rPr>
                <w:bCs/>
                <w:kern w:val="2"/>
                <w:sz w:val="24"/>
                <w:szCs w:val="24"/>
                <w:lang w:eastAsia="ar-SA"/>
              </w:rPr>
              <w:t>9.2</w:t>
            </w:r>
          </w:p>
        </w:tc>
        <w:tc>
          <w:tcPr>
            <w:tcW w:w="411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Обустройство спортивного парка «Солнечный»</w:t>
            </w:r>
          </w:p>
        </w:tc>
        <w:tc>
          <w:tcPr>
            <w:tcW w:w="1371"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jc w:val="both"/>
              <w:rPr>
                <w:sz w:val="24"/>
                <w:szCs w:val="24"/>
                <w:shd w:fill="FFFFFF" w:val="clear"/>
              </w:rPr>
            </w:pPr>
            <w:r>
              <w:rPr>
                <w:sz w:val="24"/>
                <w:szCs w:val="24"/>
                <w:shd w:fill="FFFFFF" w:val="clear"/>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Администрация Топкинского муниципального округа</w:t>
            </w:r>
          </w:p>
        </w:tc>
        <w:tc>
          <w:tcPr>
            <w:tcW w:w="4648"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Оборудование спортивного парка</w:t>
            </w:r>
          </w:p>
        </w:tc>
      </w:tr>
      <w:tr>
        <w:trPr/>
        <w:tc>
          <w:tcPr>
            <w:tcW w:w="14850" w:type="dxa"/>
            <w:gridSpan w:val="6"/>
            <w:tcBorders>
              <w:top w:val="single" w:sz="4" w:space="0" w:color="000000"/>
              <w:left w:val="single" w:sz="4" w:space="0" w:color="000000"/>
              <w:bottom w:val="single" w:sz="4" w:space="0" w:color="000000"/>
              <w:right w:val="single" w:sz="4" w:space="0" w:color="000000"/>
            </w:tcBorders>
          </w:tcPr>
          <w:p>
            <w:pPr>
              <w:pStyle w:val="Normal"/>
              <w:snapToGrid w:val="false"/>
              <w:jc w:val="both"/>
              <w:rPr/>
            </w:pPr>
            <w:r>
              <w:rPr>
                <w:rFonts w:eastAsia="Andale Sans UI;Arial Unicode MS"/>
                <w:b/>
                <w:bCs/>
                <w:kern w:val="2"/>
                <w:sz w:val="24"/>
                <w:szCs w:val="24"/>
                <w:lang w:eastAsia="ar-SA"/>
              </w:rPr>
              <w:t xml:space="preserve">10. </w:t>
            </w:r>
            <w:r>
              <w:rPr>
                <w:b/>
                <w:bCs/>
                <w:color w:val="000000"/>
                <w:kern w:val="2"/>
                <w:sz w:val="24"/>
                <w:szCs w:val="24"/>
              </w:rPr>
              <w:t>Проведение экологических мероприятий, направленных на улучшение экологической обстановки</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10.1</w:t>
            </w:r>
          </w:p>
        </w:tc>
        <w:tc>
          <w:tcPr>
            <w:tcW w:w="4111"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Участие в экологических акциях по древонасаждению</w:t>
            </w:r>
          </w:p>
        </w:tc>
        <w:tc>
          <w:tcPr>
            <w:tcW w:w="1371"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sz w:val="24"/>
                <w:szCs w:val="24"/>
                <w:shd w:fill="FFFFFF" w:val="clear"/>
              </w:rPr>
            </w:pPr>
            <w:r>
              <w:rPr>
                <w:sz w:val="24"/>
                <w:szCs w:val="24"/>
                <w:shd w:fill="FFFFFF" w:val="clear"/>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Администрация Топкинского муниципального округа</w:t>
            </w:r>
          </w:p>
          <w:p>
            <w:pPr>
              <w:pStyle w:val="Normal"/>
              <w:widowControl w:val="false"/>
              <w:shd w:fill="FFFFFF" w:val="clear"/>
              <w:jc w:val="both"/>
              <w:rPr>
                <w:sz w:val="24"/>
                <w:szCs w:val="24"/>
              </w:rPr>
            </w:pPr>
            <w:r>
              <w:rPr>
                <w:sz w:val="24"/>
                <w:szCs w:val="24"/>
              </w:rPr>
            </w:r>
          </w:p>
        </w:tc>
        <w:tc>
          <w:tcPr>
            <w:tcW w:w="4648"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pPr>
            <w:r>
              <w:rPr>
                <w:rFonts w:eastAsia="Andale Sans UI;Arial Unicode MS"/>
                <w:kern w:val="2"/>
                <w:sz w:val="24"/>
                <w:szCs w:val="24"/>
                <w:lang w:eastAsia="ar-SA"/>
              </w:rPr>
              <w:t xml:space="preserve">Ежегодно высажено не менее </w:t>
            </w:r>
            <w:r>
              <w:rPr>
                <w:rFonts w:eastAsia="Andale Sans UI;Arial Unicode MS"/>
                <w:sz w:val="24"/>
                <w:szCs w:val="24"/>
              </w:rPr>
              <w:t xml:space="preserve">200 </w:t>
            </w:r>
            <w:r>
              <w:rPr>
                <w:rFonts w:eastAsia="Andale Sans UI;Arial Unicode MS"/>
                <w:kern w:val="2"/>
                <w:sz w:val="24"/>
                <w:szCs w:val="24"/>
                <w:lang w:eastAsia="ar-SA"/>
              </w:rPr>
              <w:t>деревьев и кустарников на территории Кемеровской области</w:t>
            </w:r>
          </w:p>
        </w:tc>
      </w:tr>
      <w:tr>
        <w:trPr/>
        <w:tc>
          <w:tcPr>
            <w:tcW w:w="81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10.2</w:t>
            </w:r>
          </w:p>
        </w:tc>
        <w:tc>
          <w:tcPr>
            <w:tcW w:w="4111" w:type="dxa"/>
            <w:tcBorders>
              <w:top w:val="single" w:sz="4" w:space="0" w:color="000000"/>
              <w:left w:val="single" w:sz="4" w:space="0" w:color="000000"/>
              <w:bottom w:val="single" w:sz="4" w:space="0" w:color="000000"/>
              <w:right w:val="single" w:sz="4" w:space="0" w:color="000000"/>
            </w:tcBorders>
          </w:tcPr>
          <w:p>
            <w:pPr>
              <w:pStyle w:val="Normal"/>
              <w:jc w:val="both"/>
              <w:rPr>
                <w:rFonts w:eastAsia="Calibri"/>
                <w:sz w:val="24"/>
                <w:szCs w:val="24"/>
              </w:rPr>
            </w:pPr>
            <w:r>
              <w:rPr>
                <w:rFonts w:eastAsia="Calibri"/>
                <w:sz w:val="24"/>
                <w:szCs w:val="24"/>
              </w:rPr>
              <w:t>Очистка от мусора берегов и прилегающих акваторий озер и рек в рамках ежегодной областная природоохранная акция "Чистая река - чистые берега"</w:t>
            </w:r>
          </w:p>
        </w:tc>
        <w:tc>
          <w:tcPr>
            <w:tcW w:w="1371"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sz w:val="24"/>
                <w:szCs w:val="24"/>
              </w:rPr>
            </w:pPr>
            <w:r>
              <w:rPr>
                <w:sz w:val="24"/>
                <w:szCs w:val="24"/>
              </w:rPr>
              <w:t>01.01.2025</w:t>
            </w:r>
          </w:p>
        </w:tc>
        <w:tc>
          <w:tcPr>
            <w:tcW w:w="1296"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sz w:val="24"/>
                <w:szCs w:val="24"/>
                <w:shd w:fill="FFFFFF" w:val="clear"/>
              </w:rPr>
            </w:pPr>
            <w:r>
              <w:rPr>
                <w:sz w:val="24"/>
                <w:szCs w:val="24"/>
                <w:shd w:fill="FFFFFF" w:val="clear"/>
              </w:rPr>
              <w:t>15.12.2028</w:t>
            </w:r>
          </w:p>
        </w:tc>
        <w:tc>
          <w:tcPr>
            <w:tcW w:w="2607" w:type="dxa"/>
            <w:tcBorders>
              <w:top w:val="single" w:sz="4" w:space="0" w:color="000000"/>
              <w:left w:val="single" w:sz="4" w:space="0" w:color="000000"/>
              <w:bottom w:val="single" w:sz="4" w:space="0" w:color="000000"/>
              <w:right w:val="single" w:sz="4" w:space="0" w:color="000000"/>
            </w:tcBorders>
          </w:tcPr>
          <w:p>
            <w:pPr>
              <w:pStyle w:val="Normal"/>
              <w:rPr>
                <w:sz w:val="24"/>
                <w:szCs w:val="24"/>
              </w:rPr>
            </w:pPr>
            <w:r>
              <w:rPr>
                <w:sz w:val="24"/>
                <w:szCs w:val="24"/>
              </w:rPr>
              <w:t>Администрация Топкинского муниципального округа</w:t>
            </w:r>
          </w:p>
          <w:p>
            <w:pPr>
              <w:pStyle w:val="Normal"/>
              <w:widowControl w:val="false"/>
              <w:shd w:fill="FFFFFF" w:val="clear"/>
              <w:jc w:val="both"/>
              <w:rPr>
                <w:sz w:val="24"/>
                <w:szCs w:val="24"/>
              </w:rPr>
            </w:pPr>
            <w:r>
              <w:rPr>
                <w:sz w:val="24"/>
                <w:szCs w:val="24"/>
              </w:rPr>
            </w:r>
          </w:p>
        </w:tc>
        <w:tc>
          <w:tcPr>
            <w:tcW w:w="4648" w:type="dxa"/>
            <w:tcBorders>
              <w:top w:val="single" w:sz="4" w:space="0" w:color="000000"/>
              <w:left w:val="single" w:sz="4" w:space="0" w:color="000000"/>
              <w:bottom w:val="single" w:sz="4" w:space="0" w:color="000000"/>
              <w:right w:val="single" w:sz="4" w:space="0" w:color="000000"/>
            </w:tcBorders>
          </w:tcPr>
          <w:p>
            <w:pPr>
              <w:pStyle w:val="Normal"/>
              <w:snapToGrid w:val="false"/>
              <w:jc w:val="both"/>
              <w:rPr/>
            </w:pPr>
            <w:r>
              <w:rPr>
                <w:rFonts w:eastAsia="Andale Sans UI;Arial Unicode MS"/>
                <w:kern w:val="2"/>
                <w:sz w:val="24"/>
                <w:szCs w:val="24"/>
                <w:lang w:eastAsia="ar-SA"/>
              </w:rPr>
              <w:t xml:space="preserve">Сотрудники администрации Топкинского муниципального округа принимают участие </w:t>
            </w:r>
            <w:r>
              <w:rPr>
                <w:rFonts w:eastAsia="Calibri"/>
                <w:sz w:val="24"/>
                <w:szCs w:val="24"/>
              </w:rPr>
              <w:t>ежегодной областная природоохранной акции "Чистая река - чистые берега"</w:t>
            </w:r>
          </w:p>
        </w:tc>
      </w:tr>
    </w:tbl>
    <w:p>
      <w:pPr>
        <w:pStyle w:val="ConsPlusNormal"/>
        <w:widowControl/>
        <w:numPr>
          <w:ilvl w:val="0"/>
          <w:numId w:val="0"/>
        </w:numPr>
        <w:spacing w:lineRule="auto" w:line="360"/>
        <w:ind w:hanging="0"/>
        <w:jc w:val="both"/>
        <w:rPr>
          <w:sz w:val="28"/>
          <w:szCs w:val="28"/>
        </w:rPr>
      </w:pPr>
      <w:r>
        <w:rPr>
          <w:sz w:val="28"/>
          <w:szCs w:val="28"/>
        </w:rPr>
      </w:r>
    </w:p>
    <w:p>
      <w:pPr>
        <w:pStyle w:val="Normal"/>
        <w:numPr>
          <w:ilvl w:val="0"/>
          <w:numId w:val="0"/>
        </w:numPr>
        <w:spacing w:lineRule="auto" w:line="360"/>
        <w:ind w:firstLine="709"/>
        <w:jc w:val="both"/>
        <w:rPr>
          <w:color w:val="000000" w:themeColor="text1"/>
          <w:sz w:val="28"/>
          <w:szCs w:val="28"/>
        </w:rPr>
      </w:pPr>
      <w:r>
        <w:rPr>
          <w:sz w:val="28"/>
          <w:szCs w:val="28"/>
        </w:rPr>
      </w:r>
    </w:p>
    <w:p>
      <w:pPr>
        <w:pStyle w:val="Normal"/>
        <w:numPr>
          <w:ilvl w:val="0"/>
          <w:numId w:val="0"/>
        </w:numPr>
        <w:spacing w:lineRule="auto" w:line="360"/>
        <w:ind w:firstLine="709"/>
        <w:jc w:val="both"/>
        <w:rPr>
          <w:color w:val="000000" w:themeColor="text1"/>
          <w:sz w:val="28"/>
          <w:szCs w:val="28"/>
        </w:rPr>
      </w:pPr>
      <w:r>
        <w:rPr>
          <w:sz w:val="28"/>
          <w:szCs w:val="28"/>
        </w:rPr>
      </w:r>
    </w:p>
    <w:sectPr>
      <w:headerReference w:type="default" r:id="rId10"/>
      <w:footerReference w:type="default" r:id="rId11"/>
      <w:type w:val="nextPage"/>
      <w:pgSz w:orient="landscape" w:w="16838" w:h="11906"/>
      <w:pgMar w:left="1134" w:right="1134" w:gutter="0" w:header="0" w:top="1134" w:footer="0" w:bottom="1134"/>
      <w:pgNumType w:fmt="decimal"/>
      <w:formProt w:val="false"/>
      <w:textDirection w:val="lrTb"/>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default"/>
  </w:font>
  <w:font w:name="Arial">
    <w:charset w:val="01"/>
    <w:family w:val="roman"/>
    <w:pitch w:val="default"/>
  </w:font>
  <w:font w:name="Times New Roman">
    <w:charset w:val="cc"/>
    <w:family w:val="roman"/>
    <w:pitch w:val="variable"/>
  </w:font>
  <w:font w:name="Courier New">
    <w:charset w:val="cc"/>
    <w:family w:val="modern"/>
    <w:pitch w:val="default"/>
  </w:font>
  <w:font w:name="Wingdings">
    <w:charset w:val="02"/>
    <w:family w:val="auto"/>
    <w:pitch w:val="variable"/>
  </w:font>
  <w:font w:name="PT Astra Serif">
    <w:charset w:val="01"/>
    <w:family w:val="roman"/>
    <w:pitch w:val="default"/>
  </w:font>
  <w:font w:name="Tahoma">
    <w:charset w:val="01"/>
    <w:family w:val="roman"/>
    <w:pitch w:val="default"/>
  </w:font>
  <w:font w:name="Courier New">
    <w:charset w:val="01"/>
    <w:family w:val="roman"/>
    <w:pitch w:val="default"/>
  </w:font>
  <w:font w:name="Calibri">
    <w:charset w:val="cc"/>
    <w:family w:val="swiss"/>
    <w:pitch w:val="variable"/>
  </w:font>
  <w:font w:name="Arial CYR">
    <w:charset w:val="cc"/>
    <w:family w:val="swiss"/>
    <w:pitch w:val="variable"/>
  </w:font>
  <w:font w:name="Arial">
    <w:charset w:val="cc"/>
    <w:family w:val="swiss"/>
    <w:pitch w:val="variable"/>
  </w:font>
  <w:font w:name="Segoe UI Emoji">
    <w:charset w:val="01"/>
    <w:family w:val="roman"/>
    <w:pitch w:val="default"/>
  </w:font>
  <w:font w:name="PT Astra Serif">
    <w:charset w:val="01"/>
    <w:family w:val="roman"/>
    <w:pitch w:val="variable"/>
  </w:font>
  <w:font w:name="Arial Narrow">
    <w:charset w:val="cc"/>
    <w:family w:val="swiss"/>
    <w:pitch w:val="variable"/>
  </w:font>
  <w:font w:name="Liberation Serif">
    <w:altName w:val="Times New Roman"/>
    <w:charset w:val="01"/>
    <w:family w:val="roman"/>
    <w:pitch w:val="default"/>
  </w:font>
  <w:font w:name="Courier New">
    <w:charset w:val="cc"/>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6"/>
      <w:rPr/>
    </w:pPr>
    <w:r>
      <w:rPr/>
      <mc:AlternateContent>
        <mc:Choice Requires="wps">
          <w:drawing>
            <wp:anchor behindDoc="0" distT="0" distB="0" distL="0" distR="0" simplePos="0" locked="0" layoutInCell="0" allowOverlap="1" relativeHeight="2" wp14:anchorId="25E6C8B0">
              <wp:simplePos x="0" y="0"/>
              <wp:positionH relativeFrom="margin">
                <wp:align>center</wp:align>
              </wp:positionH>
              <wp:positionV relativeFrom="paragraph">
                <wp:posOffset>635</wp:posOffset>
              </wp:positionV>
              <wp:extent cx="14605" cy="14605"/>
              <wp:effectExtent l="0" t="0" r="0" b="0"/>
              <wp:wrapSquare wrapText="bothSides"/>
              <wp:docPr id="4" name="Врезка2"/>
              <a:graphic xmlns:a="http://schemas.openxmlformats.org/drawingml/2006/main">
                <a:graphicData uri="http://schemas.microsoft.com/office/word/2010/wordprocessingShape">
                  <wps:wsp>
                    <wps:cNvSpPr/>
                    <wps:spPr>
                      <a:xfrm>
                        <a:off x="0" y="0"/>
                        <a:ext cx="14760" cy="14760"/>
                      </a:xfrm>
                      <a:prstGeom prst="rect">
                        <a:avLst/>
                      </a:prstGeom>
                      <a:noFill/>
                      <a:ln w="0">
                        <a:noFill/>
                      </a:ln>
                    </wps:spPr>
                    <wps:style>
                      <a:lnRef idx="0"/>
                      <a:fillRef idx="0"/>
                      <a:effectRef idx="0"/>
                      <a:fontRef idx="minor"/>
                    </wps:style>
                    <wps:txbx>
                      <w:txbxContent>
                        <w:p>
                          <w:pPr>
                            <w:pStyle w:val="Style26"/>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0</w:t>
                          </w:r>
                          <w:r>
                            <w:rPr>
                              <w:rStyle w:val="Pagenumber"/>
                              <w:color w:val="000000"/>
                            </w:rPr>
                            <w:fldChar w:fldCharType="end"/>
                          </w:r>
                        </w:p>
                      </w:txbxContent>
                    </wps:txbx>
                    <wps:bodyPr lIns="0" rIns="0" tIns="0" bIns="0" anchor="t">
                      <a:spAutoFit/>
                    </wps:bodyPr>
                  </wps:wsp>
                </a:graphicData>
              </a:graphic>
            </wp:anchor>
          </w:drawing>
        </mc:Choice>
        <mc:Fallback>
          <w:pict>
            <v:rect id="shape_0" ID="Врезка2" path="m0,0l-2147483645,0l-2147483645,-2147483646l0,-2147483646xe" stroked="f" o:allowincell="f" style="position:absolute;margin-left:0pt;margin-top:0.05pt;width:1.1pt;height:1.1pt;mso-wrap-style:square;v-text-anchor:top;mso-position-horizontal:center;mso-position-horizontal-relative:margin" wp14:anchorId="25E6C8B0">
              <v:fill o:detectmouseclick="t" on="false"/>
              <v:stroke color="#3465a4" joinstyle="round" endcap="flat"/>
              <v:textbox>
                <w:txbxContent>
                  <w:p>
                    <w:pPr>
                      <w:pStyle w:val="Style26"/>
                      <w:rPr>
                        <w:rStyle w:val="Pagenumber"/>
                      </w:rPr>
                    </w:pPr>
                    <w:r>
                      <w:rPr>
                        <w:rStyle w:val="Pagenumber"/>
                        <w:color w:val="000000"/>
                      </w:rPr>
                      <w:fldChar w:fldCharType="begin"/>
                    </w:r>
                    <w:r>
                      <w:rPr>
                        <w:rStyle w:val="Pagenumber"/>
                        <w:color w:val="000000"/>
                      </w:rPr>
                      <w:instrText xml:space="preserve"> PAGE </w:instrText>
                    </w:r>
                    <w:r>
                      <w:rPr>
                        <w:rStyle w:val="Pagenumber"/>
                        <w:color w:val="000000"/>
                      </w:rPr>
                      <w:fldChar w:fldCharType="separate"/>
                    </w:r>
                    <w:r>
                      <w:rPr>
                        <w:rStyle w:val="Pagenumber"/>
                        <w:color w:val="000000"/>
                      </w:rPr>
                      <w:t>0</w:t>
                    </w:r>
                    <w:r>
                      <w:rPr>
                        <w:rStyle w:val="Pagenumber"/>
                        <w:color w:val="000000"/>
                      </w:rPr>
                      <w:fldChar w:fldCharType="end"/>
                    </w:r>
                  </w:p>
                </w:txbxContent>
              </v:textbox>
              <w10:wrap type="square"/>
            </v:rect>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6"/>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6"/>
      <w:jc w:val="right"/>
      <w:rPr/>
    </w:pPr>
    <w:r>
      <w:rPr/>
    </w:r>
  </w:p>
  <w:p>
    <w:pPr>
      <w:pStyle w:val="Style26"/>
      <w:jc w:val="right"/>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Top of Page)"/>
        <w:docPartUnique w:val="true"/>
      </w:docPartObj>
      <w:id w:val="382497300"/>
    </w:sdtPr>
    <w:sdtContent>
      <w:p>
        <w:pPr>
          <w:pStyle w:val="Style25"/>
          <w:jc w:val="right"/>
          <w:rPr/>
        </w:pPr>
        <w:r>
          <w:rPr>
            <w:rFonts w:cs="Arial" w:ascii="Arial" w:hAnsi="Arial"/>
          </w:rPr>
          <w:fldChar w:fldCharType="begin"/>
        </w:r>
        <w:r>
          <w:rPr>
            <w:rFonts w:cs="Arial" w:ascii="Arial" w:hAnsi="Arial"/>
          </w:rPr>
          <w:instrText xml:space="preserve"> PAGE </w:instrText>
        </w:r>
        <w:r>
          <w:rPr>
            <w:rFonts w:cs="Arial" w:ascii="Arial" w:hAnsi="Arial"/>
          </w:rPr>
          <w:fldChar w:fldCharType="separate"/>
        </w:r>
        <w:r>
          <w:rPr>
            <w:rFonts w:cs="Arial" w:ascii="Arial" w:hAnsi="Arial"/>
          </w:rPr>
          <w:t>28</w:t>
        </w:r>
        <w:r>
          <w:rPr>
            <w:rFonts w:cs="Arial" w:ascii="Arial" w:hAnsi="Arial"/>
          </w:rPr>
          <w:fldChar w:fldCharType="end"/>
        </w:r>
      </w:p>
    </w:sdtContent>
  </w:sdt>
  <w:p>
    <w:pPr>
      <w:pStyle w:val="Style25"/>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25"/>
      <w:jc w:val="center"/>
      <w:rPr>
        <w:rFonts w:ascii="Arial" w:hAnsi="Arial" w:cs="Arial"/>
      </w:rPr>
    </w:pPr>
    <w:r>
      <w:rPr>
        <w:rFonts w:cs="Arial" w:ascii="Arial" w:hAnsi="Arial"/>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360"/>
        </w:tabs>
        <w:ind w:left="36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2">
    <w:lvl w:ilvl="0">
      <w:start w:val="1"/>
      <w:numFmt w:val="upperRoman"/>
      <w:lvlText w:val="%1."/>
      <w:lvlJc w:val="left"/>
      <w:pPr>
        <w:tabs>
          <w:tab w:val="num" w:pos="0"/>
        </w:tabs>
        <w:ind w:left="1800" w:hanging="720"/>
      </w:pPr>
      <w:rPr>
        <w:sz w:val="28"/>
        <w:b/>
        <w:rFonts w:ascii="Times New Roman" w:hAnsi="Times New Roman" w:cs="Times New Roman"/>
        <w:color w:val="000000"/>
      </w:rPr>
    </w:lvl>
  </w:abstractNum>
  <w:abstractNum w:abstractNumId="3">
    <w:lvl w:ilvl="0">
      <w:start w:val="1"/>
      <w:numFmt w:val="decimal"/>
      <w:lvlText w:val="%1."/>
      <w:lvlJc w:val="left"/>
      <w:pPr>
        <w:tabs>
          <w:tab w:val="num" w:pos="0"/>
        </w:tabs>
        <w:ind w:left="2136" w:hanging="360"/>
      </w:pPr>
      <w:rPr>
        <w:rFonts w:cs="Times New Roman"/>
      </w:rPr>
    </w:lvl>
  </w:abstractNum>
  <w:abstractNum w:abstractNumId="4">
    <w:lvl w:ilvl="0">
      <w:start w:val="5"/>
      <w:numFmt w:val="decimal"/>
      <w:lvlText w:val="%1"/>
      <w:lvlJc w:val="left"/>
      <w:pPr>
        <w:tabs>
          <w:tab w:val="num" w:pos="0"/>
        </w:tabs>
        <w:ind w:left="375" w:hanging="375"/>
      </w:pPr>
      <w:rPr>
        <w:sz w:val="28"/>
        <w:rFonts w:ascii="Times New Roman" w:hAnsi="Times New Roman" w:cs="Times New Roman"/>
      </w:rPr>
    </w:lvl>
    <w:lvl w:ilvl="1">
      <w:start w:val="3"/>
      <w:numFmt w:val="decimal"/>
      <w:lvlText w:val="%1.%2"/>
      <w:lvlJc w:val="left"/>
      <w:pPr>
        <w:tabs>
          <w:tab w:val="num" w:pos="0"/>
        </w:tabs>
        <w:ind w:left="375" w:hanging="375"/>
      </w:pPr>
      <w:rPr>
        <w:sz w:val="28"/>
        <w:rFonts w:ascii="Times New Roman" w:hAnsi="Times New Roman" w:cs="Times New Roman"/>
      </w:rPr>
    </w:lvl>
    <w:lvl w:ilvl="2">
      <w:start w:val="1"/>
      <w:numFmt w:val="decimal"/>
      <w:lvlText w:val="%1.%2.%3"/>
      <w:lvlJc w:val="left"/>
      <w:pPr>
        <w:tabs>
          <w:tab w:val="num" w:pos="0"/>
        </w:tabs>
        <w:ind w:left="720" w:hanging="720"/>
      </w:pPr>
      <w:rPr>
        <w:sz w:val="28"/>
        <w:rFonts w:ascii="Times New Roman" w:hAnsi="Times New Roman" w:cs="Times New Roman"/>
      </w:rPr>
    </w:lvl>
    <w:lvl w:ilvl="3">
      <w:start w:val="1"/>
      <w:numFmt w:val="decimal"/>
      <w:lvlText w:val="%1.%2.%3.%4"/>
      <w:lvlJc w:val="left"/>
      <w:pPr>
        <w:tabs>
          <w:tab w:val="num" w:pos="0"/>
        </w:tabs>
        <w:ind w:left="720" w:hanging="720"/>
      </w:pPr>
      <w:rPr>
        <w:sz w:val="28"/>
        <w:rFonts w:ascii="Times New Roman" w:hAnsi="Times New Roman" w:cs="Times New Roman"/>
      </w:rPr>
    </w:lvl>
    <w:lvl w:ilvl="4">
      <w:start w:val="1"/>
      <w:numFmt w:val="decimal"/>
      <w:lvlText w:val="%1.%2.%3.%4.%5"/>
      <w:lvlJc w:val="left"/>
      <w:pPr>
        <w:tabs>
          <w:tab w:val="num" w:pos="0"/>
        </w:tabs>
        <w:ind w:left="1080" w:hanging="1080"/>
      </w:pPr>
      <w:rPr>
        <w:sz w:val="28"/>
        <w:rFonts w:ascii="Times New Roman" w:hAnsi="Times New Roman" w:cs="Times New Roman"/>
      </w:rPr>
    </w:lvl>
    <w:lvl w:ilvl="5">
      <w:start w:val="1"/>
      <w:numFmt w:val="decimal"/>
      <w:lvlText w:val="%1.%2.%3.%4.%5.%6"/>
      <w:lvlJc w:val="left"/>
      <w:pPr>
        <w:tabs>
          <w:tab w:val="num" w:pos="0"/>
        </w:tabs>
        <w:ind w:left="1080" w:hanging="1080"/>
      </w:pPr>
      <w:rPr>
        <w:sz w:val="28"/>
        <w:rFonts w:ascii="Times New Roman" w:hAnsi="Times New Roman" w:cs="Times New Roman"/>
      </w:rPr>
    </w:lvl>
    <w:lvl w:ilvl="6">
      <w:start w:val="1"/>
      <w:numFmt w:val="decimal"/>
      <w:lvlText w:val="%1.%2.%3.%4.%5.%6.%7"/>
      <w:lvlJc w:val="left"/>
      <w:pPr>
        <w:tabs>
          <w:tab w:val="num" w:pos="0"/>
        </w:tabs>
        <w:ind w:left="1440" w:hanging="1440"/>
      </w:pPr>
      <w:rPr>
        <w:sz w:val="28"/>
        <w:rFonts w:ascii="Times New Roman" w:hAnsi="Times New Roman" w:cs="Times New Roman"/>
      </w:rPr>
    </w:lvl>
    <w:lvl w:ilvl="7">
      <w:start w:val="1"/>
      <w:numFmt w:val="decimal"/>
      <w:lvlText w:val="%1.%2.%3.%4.%5.%6.%7.%8"/>
      <w:lvlJc w:val="left"/>
      <w:pPr>
        <w:tabs>
          <w:tab w:val="num" w:pos="0"/>
        </w:tabs>
        <w:ind w:left="1440" w:hanging="1440"/>
      </w:pPr>
      <w:rPr>
        <w:sz w:val="28"/>
        <w:rFonts w:ascii="Times New Roman" w:hAnsi="Times New Roman" w:cs="Times New Roman"/>
      </w:rPr>
    </w:lvl>
    <w:lvl w:ilvl="8">
      <w:start w:val="1"/>
      <w:numFmt w:val="decimal"/>
      <w:lvlText w:val="%1.%2.%3.%4.%5.%6.%7.%8.%9"/>
      <w:lvlJc w:val="left"/>
      <w:pPr>
        <w:tabs>
          <w:tab w:val="num" w:pos="0"/>
        </w:tabs>
        <w:ind w:left="1440" w:hanging="1440"/>
      </w:pPr>
      <w:rPr>
        <w:sz w:val="28"/>
        <w:rFonts w:ascii="Times New Roman" w:hAnsi="Times New Roman" w:cs="Times New Roman"/>
      </w:rPr>
    </w:lvl>
  </w:abstractNum>
  <w:abstractNum w:abstractNumId="5">
    <w:lvl w:ilvl="0">
      <w:start w:val="4"/>
      <w:numFmt w:val="decimal"/>
      <w:lvlText w:val="%1"/>
      <w:lvlJc w:val="left"/>
      <w:pPr>
        <w:tabs>
          <w:tab w:val="num" w:pos="0"/>
        </w:tabs>
        <w:ind w:left="375" w:hanging="375"/>
      </w:pPr>
      <w:rPr>
        <w:rFonts w:cs="Times New Roman"/>
      </w:rPr>
    </w:lvl>
    <w:lvl w:ilvl="1">
      <w:start w:val="3"/>
      <w:numFmt w:val="decimal"/>
      <w:lvlText w:val="%1.%2"/>
      <w:lvlJc w:val="left"/>
      <w:pPr>
        <w:tabs>
          <w:tab w:val="num" w:pos="0"/>
        </w:tabs>
        <w:ind w:left="1084" w:hanging="375"/>
      </w:pPr>
      <w:rPr>
        <w:rFonts w:cs="Times New Roman"/>
      </w:rPr>
    </w:lvl>
    <w:lvl w:ilvl="2">
      <w:start w:val="1"/>
      <w:numFmt w:val="decimal"/>
      <w:lvlText w:val="%1.%2.%3"/>
      <w:lvlJc w:val="left"/>
      <w:pPr>
        <w:tabs>
          <w:tab w:val="num" w:pos="0"/>
        </w:tabs>
        <w:ind w:left="2138" w:hanging="720"/>
      </w:pPr>
      <w:rPr>
        <w:rFonts w:cs="Times New Roman"/>
      </w:rPr>
    </w:lvl>
    <w:lvl w:ilvl="3">
      <w:start w:val="1"/>
      <w:numFmt w:val="decimal"/>
      <w:lvlText w:val="%1.%2.%3.%4"/>
      <w:lvlJc w:val="left"/>
      <w:pPr>
        <w:tabs>
          <w:tab w:val="num" w:pos="0"/>
        </w:tabs>
        <w:ind w:left="3207" w:hanging="1080"/>
      </w:pPr>
      <w:rPr>
        <w:rFonts w:cs="Times New Roman"/>
      </w:rPr>
    </w:lvl>
    <w:lvl w:ilvl="4">
      <w:start w:val="1"/>
      <w:numFmt w:val="decimal"/>
      <w:lvlText w:val="%1.%2.%3.%4.%5"/>
      <w:lvlJc w:val="left"/>
      <w:pPr>
        <w:tabs>
          <w:tab w:val="num" w:pos="0"/>
        </w:tabs>
        <w:ind w:left="3916" w:hanging="1080"/>
      </w:pPr>
      <w:rPr>
        <w:rFonts w:cs="Times New Roman"/>
      </w:rPr>
    </w:lvl>
    <w:lvl w:ilvl="5">
      <w:start w:val="1"/>
      <w:numFmt w:val="decimal"/>
      <w:lvlText w:val="%1.%2.%3.%4.%5.%6"/>
      <w:lvlJc w:val="left"/>
      <w:pPr>
        <w:tabs>
          <w:tab w:val="num" w:pos="0"/>
        </w:tabs>
        <w:ind w:left="4985" w:hanging="1440"/>
      </w:pPr>
      <w:rPr>
        <w:rFonts w:cs="Times New Roman"/>
      </w:rPr>
    </w:lvl>
    <w:lvl w:ilvl="6">
      <w:start w:val="1"/>
      <w:numFmt w:val="decimal"/>
      <w:lvlText w:val="%1.%2.%3.%4.%5.%6.%7"/>
      <w:lvlJc w:val="left"/>
      <w:pPr>
        <w:tabs>
          <w:tab w:val="num" w:pos="0"/>
        </w:tabs>
        <w:ind w:left="5694" w:hanging="1440"/>
      </w:pPr>
      <w:rPr>
        <w:rFonts w:cs="Times New Roman"/>
      </w:rPr>
    </w:lvl>
    <w:lvl w:ilvl="7">
      <w:start w:val="1"/>
      <w:numFmt w:val="decimal"/>
      <w:lvlText w:val="%1.%2.%3.%4.%5.%6.%7.%8"/>
      <w:lvlJc w:val="left"/>
      <w:pPr>
        <w:tabs>
          <w:tab w:val="num" w:pos="0"/>
        </w:tabs>
        <w:ind w:left="6763" w:hanging="1800"/>
      </w:pPr>
      <w:rPr>
        <w:rFonts w:cs="Times New Roman"/>
      </w:rPr>
    </w:lvl>
    <w:lvl w:ilvl="8">
      <w:start w:val="1"/>
      <w:numFmt w:val="decimal"/>
      <w:lvlText w:val="%1.%2.%3.%4.%5.%6.%7.%8.%9"/>
      <w:lvlJc w:val="left"/>
      <w:pPr>
        <w:tabs>
          <w:tab w:val="num" w:pos="0"/>
        </w:tabs>
        <w:ind w:left="7832" w:hanging="2160"/>
      </w:pPr>
      <w:rPr>
        <w:rFonts w:cs="Times New Roman"/>
      </w:rPr>
    </w:lvl>
  </w:abstractNum>
  <w:abstractNum w:abstractNumId="6">
    <w:lvl w:ilvl="0">
      <w:start w:val="6"/>
      <w:numFmt w:val="decimal"/>
      <w:lvlText w:val="%1."/>
      <w:lvlJc w:val="left"/>
      <w:pPr>
        <w:tabs>
          <w:tab w:val="num" w:pos="0"/>
        </w:tabs>
        <w:ind w:left="1222" w:hanging="360"/>
      </w:pPr>
      <w:rPr>
        <w:sz w:val="28"/>
        <w:b/>
        <w:rFonts w:ascii="Times New Roman" w:hAnsi="Times New Roman" w:cs="Times New Roman"/>
      </w:rPr>
    </w:lvl>
    <w:lvl w:ilvl="1">
      <w:start w:val="2"/>
      <w:numFmt w:val="decimal"/>
      <w:lvlText w:val="%1.%2"/>
      <w:lvlJc w:val="left"/>
      <w:pPr>
        <w:tabs>
          <w:tab w:val="num" w:pos="0"/>
        </w:tabs>
        <w:ind w:left="1237" w:hanging="375"/>
      </w:pPr>
      <w:rPr>
        <w:sz w:val="28"/>
        <w:rFonts w:ascii="Times New Roman" w:hAnsi="Times New Roman" w:cs="Times New Roman"/>
      </w:rPr>
    </w:lvl>
    <w:lvl w:ilvl="2">
      <w:start w:val="1"/>
      <w:numFmt w:val="decimal"/>
      <w:lvlText w:val="%1.%2.%3"/>
      <w:lvlJc w:val="left"/>
      <w:pPr>
        <w:tabs>
          <w:tab w:val="num" w:pos="0"/>
        </w:tabs>
        <w:ind w:left="1582" w:hanging="720"/>
      </w:pPr>
      <w:rPr>
        <w:sz w:val="28"/>
        <w:rFonts w:ascii="Times New Roman" w:hAnsi="Times New Roman" w:cs="Times New Roman"/>
      </w:rPr>
    </w:lvl>
    <w:lvl w:ilvl="3">
      <w:start w:val="1"/>
      <w:numFmt w:val="decimal"/>
      <w:lvlText w:val="%1.%2.%3.%4"/>
      <w:lvlJc w:val="left"/>
      <w:pPr>
        <w:tabs>
          <w:tab w:val="num" w:pos="0"/>
        </w:tabs>
        <w:ind w:left="1582" w:hanging="720"/>
      </w:pPr>
      <w:rPr>
        <w:sz w:val="28"/>
        <w:rFonts w:ascii="Times New Roman" w:hAnsi="Times New Roman" w:cs="Times New Roman"/>
      </w:rPr>
    </w:lvl>
    <w:lvl w:ilvl="4">
      <w:start w:val="1"/>
      <w:numFmt w:val="decimal"/>
      <w:lvlText w:val="%1.%2.%3.%4.%5"/>
      <w:lvlJc w:val="left"/>
      <w:pPr>
        <w:tabs>
          <w:tab w:val="num" w:pos="0"/>
        </w:tabs>
        <w:ind w:left="1942" w:hanging="1080"/>
      </w:pPr>
      <w:rPr>
        <w:sz w:val="28"/>
        <w:rFonts w:ascii="Times New Roman" w:hAnsi="Times New Roman" w:cs="Times New Roman"/>
      </w:rPr>
    </w:lvl>
    <w:lvl w:ilvl="5">
      <w:start w:val="1"/>
      <w:numFmt w:val="decimal"/>
      <w:lvlText w:val="%1.%2.%3.%4.%5.%6"/>
      <w:lvlJc w:val="left"/>
      <w:pPr>
        <w:tabs>
          <w:tab w:val="num" w:pos="0"/>
        </w:tabs>
        <w:ind w:left="1942" w:hanging="1080"/>
      </w:pPr>
      <w:rPr>
        <w:sz w:val="28"/>
        <w:rFonts w:ascii="Times New Roman" w:hAnsi="Times New Roman" w:cs="Times New Roman"/>
      </w:rPr>
    </w:lvl>
    <w:lvl w:ilvl="6">
      <w:start w:val="1"/>
      <w:numFmt w:val="decimal"/>
      <w:lvlText w:val="%1.%2.%3.%4.%5.%6.%7"/>
      <w:lvlJc w:val="left"/>
      <w:pPr>
        <w:tabs>
          <w:tab w:val="num" w:pos="0"/>
        </w:tabs>
        <w:ind w:left="2302" w:hanging="1440"/>
      </w:pPr>
      <w:rPr>
        <w:sz w:val="28"/>
        <w:rFonts w:ascii="Times New Roman" w:hAnsi="Times New Roman" w:cs="Times New Roman"/>
      </w:rPr>
    </w:lvl>
    <w:lvl w:ilvl="7">
      <w:start w:val="1"/>
      <w:numFmt w:val="decimal"/>
      <w:lvlText w:val="%1.%2.%3.%4.%5.%6.%7.%8"/>
      <w:lvlJc w:val="left"/>
      <w:pPr>
        <w:tabs>
          <w:tab w:val="num" w:pos="0"/>
        </w:tabs>
        <w:ind w:left="2302" w:hanging="1440"/>
      </w:pPr>
      <w:rPr>
        <w:sz w:val="28"/>
        <w:rFonts w:ascii="Times New Roman" w:hAnsi="Times New Roman" w:cs="Times New Roman"/>
      </w:rPr>
    </w:lvl>
    <w:lvl w:ilvl="8">
      <w:start w:val="1"/>
      <w:numFmt w:val="decimal"/>
      <w:lvlText w:val="%1.%2.%3.%4.%5.%6.%7.%8.%9"/>
      <w:lvlJc w:val="left"/>
      <w:pPr>
        <w:tabs>
          <w:tab w:val="num" w:pos="0"/>
        </w:tabs>
        <w:ind w:left="2302" w:hanging="1440"/>
      </w:pPr>
      <w:rPr>
        <w:sz w:val="28"/>
        <w:rFonts w:ascii="Times New Roman" w:hAnsi="Times New Roman" w:cs="Times New Roman"/>
      </w:rPr>
    </w:lvl>
  </w:abstractNum>
  <w:abstractNum w:abstractNumId="7">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8">
    <w:lvl w:ilvl="0">
      <w:start w:val="1"/>
      <w:numFmt w:val="bullet"/>
      <w:lvlText w:val=""/>
      <w:lvlJc w:val="left"/>
      <w:pPr>
        <w:tabs>
          <w:tab w:val="num" w:pos="0"/>
        </w:tabs>
        <w:ind w:left="2149" w:hanging="360"/>
      </w:pPr>
      <w:rPr>
        <w:rFonts w:ascii="Symbol" w:hAnsi="Symbol" w:cs="Symbol" w:hint="default"/>
      </w:rPr>
    </w:lvl>
    <w:lvl w:ilvl="1">
      <w:start w:val="1"/>
      <w:numFmt w:val="bullet"/>
      <w:lvlText w:val="o"/>
      <w:lvlJc w:val="left"/>
      <w:pPr>
        <w:tabs>
          <w:tab w:val="num" w:pos="0"/>
        </w:tabs>
        <w:ind w:left="2869" w:hanging="360"/>
      </w:pPr>
      <w:rPr>
        <w:rFonts w:ascii="Courier New" w:hAnsi="Courier New" w:cs="Courier New" w:hint="default"/>
      </w:rPr>
    </w:lvl>
    <w:lvl w:ilvl="2">
      <w:start w:val="1"/>
      <w:numFmt w:val="bullet"/>
      <w:lvlText w:val=""/>
      <w:lvlJc w:val="left"/>
      <w:pPr>
        <w:tabs>
          <w:tab w:val="num" w:pos="0"/>
        </w:tabs>
        <w:ind w:left="3589" w:hanging="360"/>
      </w:pPr>
      <w:rPr>
        <w:rFonts w:ascii="Wingdings" w:hAnsi="Wingdings" w:cs="Wingdings" w:hint="default"/>
      </w:rPr>
    </w:lvl>
    <w:lvl w:ilvl="3">
      <w:start w:val="1"/>
      <w:numFmt w:val="bullet"/>
      <w:lvlText w:val=""/>
      <w:lvlJc w:val="left"/>
      <w:pPr>
        <w:tabs>
          <w:tab w:val="num" w:pos="0"/>
        </w:tabs>
        <w:ind w:left="4309" w:hanging="360"/>
      </w:pPr>
      <w:rPr>
        <w:rFonts w:ascii="Symbol" w:hAnsi="Symbol" w:cs="Symbol" w:hint="default"/>
      </w:rPr>
    </w:lvl>
    <w:lvl w:ilvl="4">
      <w:start w:val="1"/>
      <w:numFmt w:val="bullet"/>
      <w:lvlText w:val="o"/>
      <w:lvlJc w:val="left"/>
      <w:pPr>
        <w:tabs>
          <w:tab w:val="num" w:pos="0"/>
        </w:tabs>
        <w:ind w:left="5029" w:hanging="360"/>
      </w:pPr>
      <w:rPr>
        <w:rFonts w:ascii="Courier New" w:hAnsi="Courier New" w:cs="Courier New" w:hint="default"/>
      </w:rPr>
    </w:lvl>
    <w:lvl w:ilvl="5">
      <w:start w:val="1"/>
      <w:numFmt w:val="bullet"/>
      <w:lvlText w:val=""/>
      <w:lvlJc w:val="left"/>
      <w:pPr>
        <w:tabs>
          <w:tab w:val="num" w:pos="0"/>
        </w:tabs>
        <w:ind w:left="5749" w:hanging="360"/>
      </w:pPr>
      <w:rPr>
        <w:rFonts w:ascii="Wingdings" w:hAnsi="Wingdings" w:cs="Wingdings" w:hint="default"/>
      </w:rPr>
    </w:lvl>
    <w:lvl w:ilvl="6">
      <w:start w:val="1"/>
      <w:numFmt w:val="bullet"/>
      <w:lvlText w:val=""/>
      <w:lvlJc w:val="left"/>
      <w:pPr>
        <w:tabs>
          <w:tab w:val="num" w:pos="0"/>
        </w:tabs>
        <w:ind w:left="6469" w:hanging="360"/>
      </w:pPr>
      <w:rPr>
        <w:rFonts w:ascii="Symbol" w:hAnsi="Symbol" w:cs="Symbol" w:hint="default"/>
      </w:rPr>
    </w:lvl>
    <w:lvl w:ilvl="7">
      <w:start w:val="1"/>
      <w:numFmt w:val="bullet"/>
      <w:lvlText w:val="o"/>
      <w:lvlJc w:val="left"/>
      <w:pPr>
        <w:tabs>
          <w:tab w:val="num" w:pos="0"/>
        </w:tabs>
        <w:ind w:left="7189" w:hanging="360"/>
      </w:pPr>
      <w:rPr>
        <w:rFonts w:ascii="Courier New" w:hAnsi="Courier New" w:cs="Courier New" w:hint="default"/>
      </w:rPr>
    </w:lvl>
    <w:lvl w:ilvl="8">
      <w:start w:val="1"/>
      <w:numFmt w:val="bullet"/>
      <w:lvlText w:val=""/>
      <w:lvlJc w:val="left"/>
      <w:pPr>
        <w:tabs>
          <w:tab w:val="num" w:pos="0"/>
        </w:tabs>
        <w:ind w:left="7909" w:hanging="360"/>
      </w:pPr>
      <w:rPr>
        <w:rFonts w:ascii="Wingdings" w:hAnsi="Wingdings" w:cs="Wingdings" w:hint="default"/>
      </w:r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decimal"/>
      <w:lvlText w:val="%1."/>
      <w:lvlJc w:val="left"/>
      <w:pPr>
        <w:tabs>
          <w:tab w:val="num" w:pos="0"/>
        </w:tabs>
        <w:ind w:left="2136" w:hanging="360"/>
      </w:pPr>
    </w:lvl>
    <w:lvl w:ilvl="1">
      <w:start w:val="1"/>
      <w:numFmt w:val="lowerLetter"/>
      <w:lvlText w:val="%2."/>
      <w:lvlJc w:val="left"/>
      <w:pPr>
        <w:tabs>
          <w:tab w:val="num" w:pos="0"/>
        </w:tabs>
        <w:ind w:left="2856" w:hanging="360"/>
      </w:pPr>
    </w:lvl>
    <w:lvl w:ilvl="2">
      <w:start w:val="1"/>
      <w:numFmt w:val="lowerRoman"/>
      <w:lvlText w:val="%3."/>
      <w:lvlJc w:val="right"/>
      <w:pPr>
        <w:tabs>
          <w:tab w:val="num" w:pos="0"/>
        </w:tabs>
        <w:ind w:left="3576" w:hanging="180"/>
      </w:pPr>
    </w:lvl>
    <w:lvl w:ilvl="3">
      <w:start w:val="1"/>
      <w:numFmt w:val="decimal"/>
      <w:lvlText w:val="%4."/>
      <w:lvlJc w:val="left"/>
      <w:pPr>
        <w:tabs>
          <w:tab w:val="num" w:pos="0"/>
        </w:tabs>
        <w:ind w:left="4296" w:hanging="360"/>
      </w:pPr>
    </w:lvl>
    <w:lvl w:ilvl="4">
      <w:start w:val="1"/>
      <w:numFmt w:val="lowerLetter"/>
      <w:lvlText w:val="%5."/>
      <w:lvlJc w:val="left"/>
      <w:pPr>
        <w:tabs>
          <w:tab w:val="num" w:pos="0"/>
        </w:tabs>
        <w:ind w:left="5016" w:hanging="360"/>
      </w:pPr>
    </w:lvl>
    <w:lvl w:ilvl="5">
      <w:start w:val="1"/>
      <w:numFmt w:val="lowerRoman"/>
      <w:lvlText w:val="%6."/>
      <w:lvlJc w:val="right"/>
      <w:pPr>
        <w:tabs>
          <w:tab w:val="num" w:pos="0"/>
        </w:tabs>
        <w:ind w:left="5736" w:hanging="180"/>
      </w:pPr>
    </w:lvl>
    <w:lvl w:ilvl="6">
      <w:start w:val="1"/>
      <w:numFmt w:val="decimal"/>
      <w:lvlText w:val="%7."/>
      <w:lvlJc w:val="left"/>
      <w:pPr>
        <w:tabs>
          <w:tab w:val="num" w:pos="0"/>
        </w:tabs>
        <w:ind w:left="6456" w:hanging="360"/>
      </w:pPr>
    </w:lvl>
    <w:lvl w:ilvl="7">
      <w:start w:val="1"/>
      <w:numFmt w:val="lowerLetter"/>
      <w:lvlText w:val="%8."/>
      <w:lvlJc w:val="left"/>
      <w:pPr>
        <w:tabs>
          <w:tab w:val="num" w:pos="0"/>
        </w:tabs>
        <w:ind w:left="7176" w:hanging="360"/>
      </w:pPr>
    </w:lvl>
    <w:lvl w:ilvl="8">
      <w:start w:val="1"/>
      <w:numFmt w:val="lowerRoman"/>
      <w:lvlText w:val="%9."/>
      <w:lvlJc w:val="right"/>
      <w:pPr>
        <w:tabs>
          <w:tab w:val="num" w:pos="0"/>
        </w:tabs>
        <w:ind w:left="7896" w:hanging="180"/>
      </w:pPr>
    </w:lvl>
  </w:abstractNum>
  <w:abstractNum w:abstractNumId="11">
    <w:lvl w:ilvl="0">
      <w:start w:val="1"/>
      <w:numFmt w:val="bullet"/>
      <w:lvlText w:val=""/>
      <w:lvlJc w:val="left"/>
      <w:pPr>
        <w:tabs>
          <w:tab w:val="num" w:pos="0"/>
        </w:tabs>
        <w:ind w:left="720" w:hanging="360"/>
      </w:pPr>
      <w:rPr>
        <w:rFonts w:ascii="Symbol" w:hAnsi="Symbol" w:cs="Symbol" w:hint="default"/>
      </w:rPr>
    </w:lvl>
  </w:abstractNum>
  <w:abstractNum w:abstractNumId="1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ru-RU" w:eastAsia="ru-RU" w:bidi="ar-SA"/>
      </w:rPr>
    </w:rPrDefault>
    <w:pPrDefault>
      <w:pPr>
        <w:suppressAutoHyphens w:val="true"/>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6c5ce2"/>
    <w:pPr>
      <w:widowControl/>
      <w:suppressAutoHyphens w:val="true"/>
      <w:bidi w:val="0"/>
      <w:spacing w:before="0" w:after="0"/>
      <w:jc w:val="left"/>
    </w:pPr>
    <w:rPr>
      <w:rFonts w:ascii="Times New Roman" w:hAnsi="Times New Roman" w:eastAsia="Times New Roman" w:cs="Times New Roman"/>
      <w:color w:val="auto"/>
      <w:kern w:val="0"/>
      <w:sz w:val="24"/>
      <w:szCs w:val="24"/>
      <w:lang w:val="ru-RU" w:eastAsia="ru-RU" w:bidi="ar-SA"/>
    </w:rPr>
  </w:style>
  <w:style w:type="paragraph" w:styleId="1">
    <w:name w:val="Heading 1"/>
    <w:basedOn w:val="Normal"/>
    <w:next w:val="Normal"/>
    <w:qFormat/>
    <w:rsid w:val="008d1482"/>
    <w:pPr>
      <w:keepNext w:val="true"/>
      <w:spacing w:before="240" w:after="60"/>
      <w:outlineLvl w:val="0"/>
    </w:pPr>
    <w:rPr>
      <w:rFonts w:ascii="Arial" w:hAnsi="Arial" w:cs="Arial"/>
      <w:b/>
      <w:bCs/>
      <w:kern w:val="2"/>
      <w:sz w:val="32"/>
      <w:szCs w:val="32"/>
    </w:rPr>
  </w:style>
  <w:style w:type="paragraph" w:styleId="4">
    <w:name w:val="Heading 4"/>
    <w:basedOn w:val="Normal"/>
    <w:next w:val="Normal"/>
    <w:qFormat/>
    <w:rsid w:val="00334005"/>
    <w:pPr>
      <w:keepNext w:val="true"/>
      <w:jc w:val="center"/>
      <w:outlineLvl w:val="3"/>
    </w:pPr>
    <w:rPr>
      <w:rFonts w:ascii="Arial" w:hAnsi="Arial" w:cs="Arial"/>
      <w:b/>
      <w:sz w:val="22"/>
      <w:szCs w:val="14"/>
    </w:rPr>
  </w:style>
  <w:style w:type="character" w:styleId="DefaultParagraphFont" w:default="1">
    <w:name w:val="Default Paragraph Font"/>
    <w:uiPriority w:val="1"/>
    <w:semiHidden/>
    <w:unhideWhenUsed/>
    <w:qFormat/>
    <w:rPr/>
  </w:style>
  <w:style w:type="character" w:styleId="Style12" w:customStyle="1">
    <w:name w:val="Интернет-ссылка"/>
    <w:rsid w:val="00ca2e10"/>
    <w:rPr>
      <w:color w:val="0000FF"/>
      <w:u w:val="single"/>
    </w:rPr>
  </w:style>
  <w:style w:type="character" w:styleId="Pagenumber">
    <w:name w:val="page number"/>
    <w:basedOn w:val="DefaultParagraphFont"/>
    <w:qFormat/>
    <w:rsid w:val="008c749e"/>
    <w:rPr/>
  </w:style>
  <w:style w:type="character" w:styleId="Style13">
    <w:name w:val="Выделение"/>
    <w:qFormat/>
    <w:rsid w:val="001e1e3f"/>
    <w:rPr>
      <w:b/>
      <w:bCs/>
      <w:i w:val="false"/>
      <w:iCs w:val="false"/>
    </w:rPr>
  </w:style>
  <w:style w:type="character" w:styleId="Style14" w:customStyle="1">
    <w:name w:val="Верхний колонтитул Знак"/>
    <w:uiPriority w:val="99"/>
    <w:qFormat/>
    <w:rsid w:val="005d5a39"/>
    <w:rPr>
      <w:sz w:val="24"/>
      <w:szCs w:val="24"/>
    </w:rPr>
  </w:style>
  <w:style w:type="character" w:styleId="PlaceholderText">
    <w:name w:val="Placeholder Text"/>
    <w:basedOn w:val="DefaultParagraphFont"/>
    <w:uiPriority w:val="99"/>
    <w:semiHidden/>
    <w:qFormat/>
    <w:rsid w:val="00a26428"/>
    <w:rPr>
      <w:color w:val="808080"/>
    </w:rPr>
  </w:style>
  <w:style w:type="character" w:styleId="Annotationreference">
    <w:name w:val="annotation reference"/>
    <w:basedOn w:val="DefaultParagraphFont"/>
    <w:qFormat/>
    <w:rsid w:val="00e92310"/>
    <w:rPr>
      <w:sz w:val="16"/>
      <w:szCs w:val="16"/>
    </w:rPr>
  </w:style>
  <w:style w:type="character" w:styleId="Style15" w:customStyle="1">
    <w:name w:val="Текст примечания Знак"/>
    <w:basedOn w:val="DefaultParagraphFont"/>
    <w:link w:val="Annotationtext"/>
    <w:qFormat/>
    <w:rsid w:val="00e92310"/>
    <w:rPr/>
  </w:style>
  <w:style w:type="character" w:styleId="Style16" w:customStyle="1">
    <w:name w:val="Тема примечания Знак"/>
    <w:basedOn w:val="Style15"/>
    <w:link w:val="Annotationsubject"/>
    <w:qFormat/>
    <w:rsid w:val="00e92310"/>
    <w:rPr>
      <w:b/>
      <w:bCs/>
    </w:rPr>
  </w:style>
  <w:style w:type="character" w:styleId="WW8Num12z0">
    <w:name w:val="WW8Num12z0"/>
    <w:qFormat/>
    <w:rPr>
      <w:rFonts w:ascii="Times New Roman" w:hAnsi="Times New Roman" w:cs="Times New Roman"/>
      <w:b/>
      <w:color w:val="000000"/>
      <w:sz w:val="28"/>
    </w:rPr>
  </w:style>
  <w:style w:type="character" w:styleId="WW8Num2z0">
    <w:name w:val="WW8Num2z0"/>
    <w:qFormat/>
    <w:rPr>
      <w:rFonts w:cs="Times New Roman"/>
    </w:rPr>
  </w:style>
  <w:style w:type="character" w:styleId="WW8Num14z0">
    <w:name w:val="WW8Num14z0"/>
    <w:qFormat/>
    <w:rPr>
      <w:rFonts w:ascii="Times New Roman" w:hAnsi="Times New Roman" w:cs="Times New Roman"/>
      <w:sz w:val="28"/>
    </w:rPr>
  </w:style>
  <w:style w:type="character" w:styleId="WW8Num9z0">
    <w:name w:val="WW8Num9z0"/>
    <w:qFormat/>
    <w:rPr>
      <w:rFonts w:cs="Times New Roman"/>
    </w:rPr>
  </w:style>
  <w:style w:type="character" w:styleId="WW8Num13z0">
    <w:name w:val="WW8Num13z0"/>
    <w:qFormat/>
    <w:rPr>
      <w:rFonts w:ascii="Times New Roman" w:hAnsi="Times New Roman" w:cs="Times New Roman"/>
      <w:b/>
      <w:sz w:val="28"/>
    </w:rPr>
  </w:style>
  <w:style w:type="character" w:styleId="WW8Num13z1">
    <w:name w:val="WW8Num13z1"/>
    <w:qFormat/>
    <w:rPr>
      <w:rFonts w:ascii="Times New Roman" w:hAnsi="Times New Roman" w:cs="Times New Roman"/>
      <w:sz w:val="28"/>
    </w:rPr>
  </w:style>
  <w:style w:type="character" w:styleId="WW8Num5z0">
    <w:name w:val="WW8Num5z0"/>
    <w:qFormat/>
    <w:rPr>
      <w:rFonts w:ascii="Symbol" w:hAnsi="Symbol" w:cs="Symbol"/>
    </w:rPr>
  </w:style>
  <w:style w:type="character" w:styleId="WW8Num5z1">
    <w:name w:val="WW8Num5z1"/>
    <w:qFormat/>
    <w:rPr>
      <w:rFonts w:ascii="Courier New" w:hAnsi="Courier New" w:cs="Courier New"/>
    </w:rPr>
  </w:style>
  <w:style w:type="character" w:styleId="WW8Num5z2">
    <w:name w:val="WW8Num5z2"/>
    <w:qFormat/>
    <w:rPr>
      <w:rFonts w:ascii="Wingdings" w:hAnsi="Wingdings" w:cs="Wingdings"/>
    </w:rPr>
  </w:style>
  <w:style w:type="character" w:styleId="WW8Num10z0">
    <w:name w:val="WW8Num10z0"/>
    <w:qFormat/>
    <w:rPr>
      <w:rFonts w:ascii="Symbol" w:hAnsi="Symbol" w:cs="Symbol"/>
    </w:rPr>
  </w:style>
  <w:style w:type="character" w:styleId="WW8Num10z1">
    <w:name w:val="WW8Num10z1"/>
    <w:qFormat/>
    <w:rPr>
      <w:rFonts w:ascii="Courier New" w:hAnsi="Courier New" w:cs="Courier New"/>
    </w:rPr>
  </w:style>
  <w:style w:type="character" w:styleId="WW8Num10z2">
    <w:name w:val="WW8Num10z2"/>
    <w:qFormat/>
    <w:rPr>
      <w:rFonts w:ascii="Wingdings" w:hAnsi="Wingdings" w:cs="Wingdings"/>
    </w:rPr>
  </w:style>
  <w:style w:type="character" w:styleId="WW8Num4z0">
    <w:name w:val="WW8Num4z0"/>
    <w:qFormat/>
    <w:rPr>
      <w:rFonts w:ascii="Symbol" w:hAnsi="Symbol" w:cs="Symbol"/>
    </w:rPr>
  </w:style>
  <w:style w:type="character" w:styleId="WW8Num4z1">
    <w:name w:val="WW8Num4z1"/>
    <w:qFormat/>
    <w:rPr>
      <w:rFonts w:ascii="Courier New" w:hAnsi="Courier New" w:cs="Courier New"/>
    </w:rPr>
  </w:style>
  <w:style w:type="character" w:styleId="WW8Num4z2">
    <w:name w:val="WW8Num4z2"/>
    <w:qFormat/>
    <w:rPr>
      <w:rFonts w:ascii="Wingdings" w:hAnsi="Wingdings" w:cs="Wingdings"/>
    </w:rPr>
  </w:style>
  <w:style w:type="character" w:styleId="2">
    <w:name w:val="Основной шрифт абзаца2"/>
    <w:qFormat/>
    <w:rPr/>
  </w:style>
  <w:style w:type="character" w:styleId="Style17">
    <w:name w:val="Номер страницы"/>
    <w:basedOn w:val="2"/>
    <w:rPr/>
  </w:style>
  <w:style w:type="character" w:styleId="WW8Num7z0">
    <w:name w:val="WW8Num7z0"/>
    <w:qFormat/>
    <w:rPr>
      <w:rFonts w:ascii="Symbol" w:hAnsi="Symbol" w:cs="Symbol"/>
    </w:rPr>
  </w:style>
  <w:style w:type="paragraph" w:styleId="Style18">
    <w:name w:val="Заголовок"/>
    <w:basedOn w:val="Normal"/>
    <w:next w:val="Style19"/>
    <w:qFormat/>
    <w:pPr>
      <w:keepNext w:val="true"/>
      <w:spacing w:before="240" w:after="120"/>
    </w:pPr>
    <w:rPr>
      <w:rFonts w:ascii="PT Astra Serif" w:hAnsi="PT Astra Serif" w:eastAsia="Tahoma" w:cs="Noto Sans Devanagari"/>
      <w:sz w:val="28"/>
      <w:szCs w:val="28"/>
    </w:rPr>
  </w:style>
  <w:style w:type="paragraph" w:styleId="Style19">
    <w:name w:val="Body Text"/>
    <w:basedOn w:val="Normal"/>
    <w:rsid w:val="006b3f96"/>
    <w:pPr>
      <w:spacing w:before="0" w:after="120"/>
    </w:pPr>
    <w:rPr/>
  </w:style>
  <w:style w:type="paragraph" w:styleId="Style20">
    <w:name w:val="List"/>
    <w:basedOn w:val="Style19"/>
    <w:pPr/>
    <w:rPr>
      <w:rFonts w:ascii="PT Astra Serif" w:hAnsi="PT Astra Serif" w:cs="Noto Sans Devanagari"/>
    </w:rPr>
  </w:style>
  <w:style w:type="paragraph" w:styleId="Style21">
    <w:name w:val="Caption"/>
    <w:basedOn w:val="Normal"/>
    <w:qFormat/>
    <w:pPr>
      <w:suppressLineNumbers/>
      <w:spacing w:before="120" w:after="120"/>
    </w:pPr>
    <w:rPr>
      <w:rFonts w:ascii="PT Astra Serif" w:hAnsi="PT Astra Serif" w:cs="Noto Sans Devanagari"/>
      <w:i/>
      <w:iCs/>
      <w:sz w:val="24"/>
      <w:szCs w:val="24"/>
    </w:rPr>
  </w:style>
  <w:style w:type="paragraph" w:styleId="Style22">
    <w:name w:val="Указатель"/>
    <w:basedOn w:val="Normal"/>
    <w:qFormat/>
    <w:pPr>
      <w:suppressLineNumbers/>
    </w:pPr>
    <w:rPr>
      <w:rFonts w:ascii="PT Astra Serif" w:hAnsi="PT Astra Serif" w:cs="Noto Sans Devanagari"/>
      <w:lang w:val="zxx" w:eastAsia="zxx" w:bidi="zxx"/>
    </w:rPr>
  </w:style>
  <w:style w:type="paragraph" w:styleId="Style23">
    <w:name w:val="Title"/>
    <w:basedOn w:val="Normal"/>
    <w:next w:val="Style19"/>
    <w:qFormat/>
    <w:pPr>
      <w:keepNext w:val="true"/>
      <w:spacing w:before="240" w:after="120"/>
    </w:pPr>
    <w:rPr>
      <w:rFonts w:ascii="PT Astra Serif" w:hAnsi="PT Astra Serif" w:eastAsia="Tahoma" w:cs="Noto Sans Devanagari"/>
      <w:sz w:val="28"/>
      <w:szCs w:val="28"/>
    </w:rPr>
  </w:style>
  <w:style w:type="paragraph" w:styleId="Caption">
    <w:name w:val="caption"/>
    <w:basedOn w:val="Normal"/>
    <w:qFormat/>
    <w:pPr>
      <w:suppressLineNumbers/>
      <w:spacing w:before="120" w:after="120"/>
    </w:pPr>
    <w:rPr>
      <w:rFonts w:ascii="PT Astra Serif" w:hAnsi="PT Astra Serif" w:cs="Noto Sans Devanagari"/>
      <w:i/>
      <w:iCs/>
    </w:rPr>
  </w:style>
  <w:style w:type="paragraph" w:styleId="Indexheading">
    <w:name w:val="index heading"/>
    <w:basedOn w:val="Normal"/>
    <w:qFormat/>
    <w:pPr>
      <w:suppressLineNumbers/>
    </w:pPr>
    <w:rPr>
      <w:rFonts w:ascii="PT Astra Serif" w:hAnsi="PT Astra Serif" w:cs="Noto Sans Devanagari"/>
    </w:rPr>
  </w:style>
  <w:style w:type="paragraph" w:styleId="Style24" w:customStyle="1">
    <w:name w:val="Колонтитул"/>
    <w:basedOn w:val="Normal"/>
    <w:qFormat/>
    <w:pPr/>
    <w:rPr/>
  </w:style>
  <w:style w:type="paragraph" w:styleId="Style25">
    <w:name w:val="Header"/>
    <w:basedOn w:val="Normal"/>
    <w:link w:val="Style14"/>
    <w:uiPriority w:val="99"/>
    <w:rsid w:val="00ca2e10"/>
    <w:pPr>
      <w:tabs>
        <w:tab w:val="clear" w:pos="708"/>
        <w:tab w:val="center" w:pos="4677" w:leader="none"/>
        <w:tab w:val="right" w:pos="9355" w:leader="none"/>
      </w:tabs>
    </w:pPr>
    <w:rPr/>
  </w:style>
  <w:style w:type="paragraph" w:styleId="BalloonText">
    <w:name w:val="Balloon Text"/>
    <w:basedOn w:val="Normal"/>
    <w:semiHidden/>
    <w:qFormat/>
    <w:rsid w:val="00ca2e10"/>
    <w:pPr/>
    <w:rPr>
      <w:rFonts w:ascii="Tahoma" w:hAnsi="Tahoma" w:cs="Tahoma"/>
      <w:sz w:val="16"/>
      <w:szCs w:val="16"/>
    </w:rPr>
  </w:style>
  <w:style w:type="paragraph" w:styleId="Style26">
    <w:name w:val="Footer"/>
    <w:basedOn w:val="Normal"/>
    <w:rsid w:val="008c749e"/>
    <w:pPr>
      <w:tabs>
        <w:tab w:val="clear" w:pos="708"/>
        <w:tab w:val="center" w:pos="4677" w:leader="none"/>
        <w:tab w:val="right" w:pos="9355" w:leader="none"/>
      </w:tabs>
    </w:pPr>
    <w:rPr/>
  </w:style>
  <w:style w:type="paragraph" w:styleId="BodyText3">
    <w:name w:val="Body Text 3"/>
    <w:basedOn w:val="Normal"/>
    <w:qFormat/>
    <w:rsid w:val="00334005"/>
    <w:pPr>
      <w:tabs>
        <w:tab w:val="clear" w:pos="708"/>
        <w:tab w:val="left" w:pos="0" w:leader="none"/>
      </w:tabs>
      <w:jc w:val="both"/>
    </w:pPr>
    <w:rPr>
      <w:sz w:val="20"/>
      <w:szCs w:val="20"/>
    </w:rPr>
  </w:style>
  <w:style w:type="paragraph" w:styleId="Normal1" w:customStyle="1">
    <w:name w:val="Normal1"/>
    <w:qFormat/>
    <w:rsid w:val="00334005"/>
    <w:pPr>
      <w:widowControl/>
      <w:suppressAutoHyphens w:val="true"/>
      <w:bidi w:val="0"/>
      <w:spacing w:before="0" w:after="0"/>
      <w:jc w:val="left"/>
    </w:pPr>
    <w:rPr>
      <w:rFonts w:ascii="Times New Roman" w:hAnsi="Times New Roman" w:eastAsia="Times New Roman" w:cs="Times New Roman"/>
      <w:color w:val="auto"/>
      <w:kern w:val="0"/>
      <w:sz w:val="20"/>
      <w:szCs w:val="20"/>
      <w:lang w:val="ru-RU" w:eastAsia="ru-RU" w:bidi="ar-SA"/>
    </w:rPr>
  </w:style>
  <w:style w:type="paragraph" w:styleId="NormalWeb">
    <w:name w:val="Normal (Web)"/>
    <w:basedOn w:val="Normal"/>
    <w:qFormat/>
    <w:rsid w:val="008d1482"/>
    <w:pPr>
      <w:spacing w:beforeAutospacing="1" w:afterAutospacing="1"/>
    </w:pPr>
    <w:rPr/>
  </w:style>
  <w:style w:type="paragraph" w:styleId="H1" w:customStyle="1">
    <w:name w:val="h1"/>
    <w:basedOn w:val="Normal"/>
    <w:qFormat/>
    <w:rsid w:val="008d1482"/>
    <w:pPr>
      <w:spacing w:before="330" w:after="120"/>
      <w:jc w:val="both"/>
    </w:pPr>
    <w:rPr>
      <w:rFonts w:ascii="Arial" w:hAnsi="Arial" w:cs="Arial"/>
      <w:b/>
      <w:bCs/>
      <w:color w:val="000000"/>
      <w:sz w:val="31"/>
      <w:szCs w:val="31"/>
    </w:rPr>
  </w:style>
  <w:style w:type="paragraph" w:styleId="BodyText2">
    <w:name w:val="Body Text 2"/>
    <w:basedOn w:val="Normal"/>
    <w:qFormat/>
    <w:rsid w:val="00305d6c"/>
    <w:pPr>
      <w:spacing w:lineRule="auto" w:line="480" w:before="0" w:after="120"/>
    </w:pPr>
    <w:rPr/>
  </w:style>
  <w:style w:type="paragraph" w:styleId="ConsNormal" w:customStyle="1">
    <w:name w:val="ConsNormal"/>
    <w:qFormat/>
    <w:rsid w:val="00305d6c"/>
    <w:pPr>
      <w:widowControl w:val="false"/>
      <w:suppressAutoHyphens w:val="true"/>
      <w:bidi w:val="0"/>
      <w:spacing w:before="0" w:after="0"/>
      <w:ind w:right="19772" w:firstLine="720"/>
      <w:jc w:val="left"/>
    </w:pPr>
    <w:rPr>
      <w:rFonts w:ascii="Arial" w:hAnsi="Arial" w:cs="Arial" w:eastAsia="Times New Roman"/>
      <w:color w:val="auto"/>
      <w:kern w:val="0"/>
      <w:sz w:val="20"/>
      <w:szCs w:val="20"/>
      <w:lang w:val="ru-RU" w:eastAsia="ru-RU" w:bidi="ar-SA"/>
    </w:rPr>
  </w:style>
  <w:style w:type="paragraph" w:styleId="ListNumber">
    <w:name w:val="List Number"/>
    <w:basedOn w:val="Normal"/>
    <w:qFormat/>
    <w:rsid w:val="00656c66"/>
    <w:pPr>
      <w:numPr>
        <w:ilvl w:val="0"/>
        <w:numId w:val="1"/>
      </w:numPr>
      <w:spacing w:before="0" w:after="0"/>
      <w:contextualSpacing/>
    </w:pPr>
    <w:rPr/>
  </w:style>
  <w:style w:type="paragraph" w:styleId="Annotationtext">
    <w:name w:val="annotation text"/>
    <w:basedOn w:val="Normal"/>
    <w:link w:val="Style15"/>
    <w:qFormat/>
    <w:rsid w:val="00e92310"/>
    <w:pPr/>
    <w:rPr>
      <w:sz w:val="20"/>
      <w:szCs w:val="20"/>
    </w:rPr>
  </w:style>
  <w:style w:type="paragraph" w:styleId="Annotationsubject">
    <w:name w:val="annotation subject"/>
    <w:basedOn w:val="Annotationtext"/>
    <w:next w:val="Annotationtext"/>
    <w:link w:val="Style16"/>
    <w:qFormat/>
    <w:rsid w:val="00e92310"/>
    <w:pPr/>
    <w:rPr>
      <w:b/>
      <w:bCs/>
    </w:rPr>
  </w:style>
  <w:style w:type="paragraph" w:styleId="Revision">
    <w:name w:val="Revision"/>
    <w:uiPriority w:val="99"/>
    <w:semiHidden/>
    <w:qFormat/>
    <w:rsid w:val="00e92310"/>
    <w:pPr>
      <w:widowControl/>
      <w:suppressAutoHyphens w:val="true"/>
      <w:bidi w:val="0"/>
      <w:spacing w:before="0" w:after="0"/>
      <w:jc w:val="left"/>
    </w:pPr>
    <w:rPr>
      <w:rFonts w:ascii="Times New Roman" w:hAnsi="Times New Roman" w:eastAsia="Times New Roman" w:cs="Times New Roman"/>
      <w:color w:val="auto"/>
      <w:kern w:val="0"/>
      <w:sz w:val="24"/>
      <w:szCs w:val="24"/>
      <w:lang w:val="ru-RU" w:eastAsia="ru-RU" w:bidi="ar-SA"/>
    </w:rPr>
  </w:style>
  <w:style w:type="paragraph" w:styleId="Style27" w:customStyle="1">
    <w:name w:val="Содержимое врезки"/>
    <w:basedOn w:val="Normal"/>
    <w:qFormat/>
    <w:pPr/>
    <w:rPr/>
  </w:style>
  <w:style w:type="paragraph" w:styleId="ConsPlusNonformat" w:customStyle="1">
    <w:name w:val="ConsPlusNonformat"/>
    <w:qFormat/>
    <w:pPr>
      <w:widowControl w:val="false"/>
      <w:suppressAutoHyphens w:val="true"/>
      <w:bidi w:val="0"/>
      <w:spacing w:before="0" w:after="0"/>
      <w:jc w:val="left"/>
    </w:pPr>
    <w:rPr>
      <w:rFonts w:ascii="Courier New" w:hAnsi="Courier New" w:cs="Courier New" w:eastAsia="Times New Roman"/>
      <w:color w:val="auto"/>
      <w:kern w:val="0"/>
      <w:sz w:val="20"/>
      <w:szCs w:val="20"/>
      <w:lang w:eastAsia="zh-CN" w:val="ru-RU" w:bidi="ar-SA"/>
    </w:rPr>
  </w:style>
  <w:style w:type="paragraph" w:styleId="NoSpacing">
    <w:name w:val="No Spacing"/>
    <w:qFormat/>
    <w:pPr>
      <w:widowControl/>
      <w:suppressAutoHyphens w:val="true"/>
      <w:bidi w:val="0"/>
      <w:spacing w:before="0" w:after="0"/>
      <w:jc w:val="left"/>
    </w:pPr>
    <w:rPr>
      <w:rFonts w:ascii="Calibri" w:hAnsi="Calibri" w:eastAsia="Times New Roman" w:cs="Calibri"/>
      <w:color w:val="auto"/>
      <w:kern w:val="0"/>
      <w:sz w:val="22"/>
      <w:szCs w:val="22"/>
      <w:lang w:val="ru-RU" w:eastAsia="zh-CN" w:bidi="ar-SA"/>
    </w:rPr>
  </w:style>
  <w:style w:type="paragraph" w:styleId="Style28">
    <w:name w:val="Абзац списка"/>
    <w:basedOn w:val="Normal"/>
    <w:qFormat/>
    <w:pPr>
      <w:spacing w:lineRule="auto" w:line="252" w:before="0" w:after="160"/>
      <w:ind w:left="720" w:right="0" w:hanging="0"/>
      <w:contextualSpacing/>
    </w:pPr>
    <w:rPr/>
  </w:style>
  <w:style w:type="paragraph" w:styleId="ListParagraph">
    <w:name w:val="List Paragraph"/>
    <w:basedOn w:val="Normal"/>
    <w:qFormat/>
    <w:pPr>
      <w:spacing w:lineRule="auto" w:line="252" w:before="0" w:after="160"/>
      <w:ind w:left="720" w:right="0" w:hanging="0"/>
    </w:pPr>
    <w:rPr>
      <w:rFonts w:ascii="Calibri" w:hAnsi="Calibri" w:cs="Calibri"/>
      <w:sz w:val="22"/>
      <w:szCs w:val="22"/>
    </w:rPr>
  </w:style>
  <w:style w:type="paragraph" w:styleId="Default">
    <w:name w:val="Default"/>
    <w:qFormat/>
    <w:pPr>
      <w:widowControl/>
      <w:suppressAutoHyphens w:val="true"/>
      <w:autoSpaceDE w:val="false"/>
      <w:bidi w:val="0"/>
      <w:spacing w:before="0" w:after="0"/>
      <w:jc w:val="left"/>
    </w:pPr>
    <w:rPr>
      <w:rFonts w:ascii="Times New Roman" w:hAnsi="Times New Roman" w:eastAsia="Times New Roman" w:cs="Times New Roman"/>
      <w:color w:val="000000"/>
      <w:kern w:val="0"/>
      <w:sz w:val="24"/>
      <w:szCs w:val="24"/>
      <w:lang w:val="ru-RU" w:eastAsia="zh-CN" w:bidi="ar-SA"/>
    </w:rPr>
  </w:style>
  <w:style w:type="paragraph" w:styleId="Xl22">
    <w:name w:val="xl22"/>
    <w:basedOn w:val="Normal"/>
    <w:qFormat/>
    <w:pPr>
      <w:spacing w:before="100" w:after="100"/>
      <w:jc w:val="center"/>
    </w:pPr>
    <w:rPr>
      <w:rFonts w:ascii="Arial CYR" w:hAnsi="Arial CYR" w:eastAsia="Arial Unicode MS" w:cs="Arial CYR"/>
      <w:sz w:val="24"/>
      <w:szCs w:val="24"/>
    </w:rPr>
  </w:style>
  <w:style w:type="paragraph" w:styleId="Style29">
    <w:name w:val="Табличный"/>
    <w:basedOn w:val="Normal"/>
    <w:qFormat/>
    <w:pPr>
      <w:spacing w:before="40" w:after="40"/>
    </w:pPr>
    <w:rPr>
      <w:rFonts w:ascii="Arial" w:hAnsi="Arial" w:cs="Arial"/>
    </w:rPr>
  </w:style>
  <w:style w:type="paragraph" w:styleId="Style30">
    <w:name w:val="Обычный (Интернет)"/>
    <w:basedOn w:val="Normal"/>
    <w:qFormat/>
    <w:pPr>
      <w:spacing w:before="100" w:after="100"/>
    </w:pPr>
    <w:rPr>
      <w:sz w:val="24"/>
      <w:szCs w:val="24"/>
    </w:rPr>
  </w:style>
  <w:style w:type="paragraph" w:styleId="ConsPlusNormal">
    <w:name w:val="ConsPlusNormal"/>
    <w:qFormat/>
    <w:pPr>
      <w:widowControl w:val="false"/>
      <w:suppressAutoHyphens w:val="true"/>
      <w:autoSpaceDE w:val="false"/>
      <w:bidi w:val="0"/>
      <w:spacing w:before="0" w:after="0"/>
      <w:ind w:firstLine="720"/>
      <w:jc w:val="left"/>
    </w:pPr>
    <w:rPr>
      <w:rFonts w:ascii="Arial" w:hAnsi="Arial" w:eastAsia="Times New Roman" w:cs="Arial"/>
      <w:color w:val="auto"/>
      <w:kern w:val="0"/>
      <w:sz w:val="20"/>
      <w:szCs w:val="20"/>
      <w:lang w:val="ru-RU" w:eastAsia="zh-CN" w:bidi="ar-SA"/>
    </w:rPr>
  </w:style>
  <w:style w:type="numbering" w:styleId="NoList" w:default="1">
    <w:name w:val="No List"/>
    <w:uiPriority w:val="99"/>
    <w:semiHidden/>
    <w:unhideWhenUsed/>
    <w:qFormat/>
  </w:style>
  <w:style w:type="numbering" w:styleId="WW8Num12">
    <w:name w:val="WW8Num12"/>
    <w:qFormat/>
  </w:style>
  <w:style w:type="numbering" w:styleId="WW8Num2">
    <w:name w:val="WW8Num2"/>
    <w:qFormat/>
  </w:style>
  <w:style w:type="numbering" w:styleId="WW8Num14">
    <w:name w:val="WW8Num14"/>
    <w:qFormat/>
  </w:style>
  <w:style w:type="numbering" w:styleId="WW8Num9">
    <w:name w:val="WW8Num9"/>
    <w:qFormat/>
  </w:style>
  <w:style w:type="numbering" w:styleId="WW8Num13">
    <w:name w:val="WW8Num13"/>
    <w:qFormat/>
  </w:style>
  <w:style w:type="numbering" w:styleId="WW8Num5">
    <w:name w:val="WW8Num5"/>
    <w:qFormat/>
  </w:style>
  <w:style w:type="numbering" w:styleId="WW8Num10">
    <w:name w:val="WW8Num10"/>
    <w:qFormat/>
  </w:style>
  <w:style w:type="numbering" w:styleId="WW8Num4">
    <w:name w:val="WW8Num4"/>
    <w:qFormat/>
  </w:style>
  <w:style w:type="numbering" w:styleId="WW8Num11">
    <w:name w:val="WW8Num11"/>
    <w:qFormat/>
  </w:style>
  <w:style w:type="numbering" w:styleId="WW8Num7">
    <w:name w:val="WW8Num7"/>
    <w:qFormat/>
  </w:style>
  <w:style w:type="table" w:default="1" w:styleId="a2">
    <w:name w:val="Normal Table"/>
    <w:uiPriority w:val="99"/>
    <w:semiHidden/>
    <w:unhideWhenUsed/>
    <w:tblPr>
      <w:tblCellMar>
        <w:top w:w="0" w:type="dxa"/>
        <w:left w:w="108" w:type="dxa"/>
        <w:bottom w:w="0" w:type="dxa"/>
        <w:right w:w="108" w:type="dxa"/>
      </w:tblCellMar>
    </w:tblPr>
  </w:style>
  <w:style w:type="table" w:styleId="af9">
    <w:name w:val="Table Grid"/>
    <w:basedOn w:val="a2"/>
    <w:rsid w:val="00ca2e1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wmf"/><Relationship Id="rId4" Type="http://schemas.openxmlformats.org/officeDocument/2006/relationships/image" Target="media/image3.png"/><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footer" Target="footer3.xml"/><Relationship Id="rId10" Type="http://schemas.openxmlformats.org/officeDocument/2006/relationships/header" Target="header3.xml"/><Relationship Id="rId11" Type="http://schemas.openxmlformats.org/officeDocument/2006/relationships/footer" Target="footer4.xml"/><Relationship Id="rId12" Type="http://schemas.openxmlformats.org/officeDocument/2006/relationships/numbering" Target="numbering.xml"/><Relationship Id="rId13" Type="http://schemas.openxmlformats.org/officeDocument/2006/relationships/fontTable" Target="fontTable.xml"/><Relationship Id="rId14" Type="http://schemas.openxmlformats.org/officeDocument/2006/relationships/settings" Target="settings.xml"/><Relationship Id="rId15" Type="http://schemas.openxmlformats.org/officeDocument/2006/relationships/theme" Target="theme/theme1.xml"/><Relationship Id="rId16" Type="http://schemas.openxmlformats.org/officeDocument/2006/relationships/glossaryDocument" Target="glossary/document.xml"/><Relationship Id="rId17" Type="http://schemas.openxmlformats.org/officeDocument/2006/relationships/customXml" Target="../customXml/item1.xml"/>
</Relationships>
</file>

<file path=word/glossary/_rels/document.xml.rels><?xml version="1.0" encoding="UTF-8"?>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
</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6C8EE755C8A491AB2E928906E30A895"/>
        <w:category>
          <w:name w:val="Общие"/>
          <w:gallery w:val="placeholder"/>
        </w:category>
        <w:types>
          <w:type w:val="bbPlcHdr"/>
        </w:types>
        <w:behaviors>
          <w:behavior w:val="content"/>
        </w:behaviors>
        <w:guid w:val="{FD9E3EC2-C74E-48AD-9D9F-3800218D1D4E}"/>
      </w:docPartPr>
      <w:docPartBody>
        <w:p w:rsidR="00B2681C" w:rsidRDefault="006639A1" w:rsidP="006639A1">
          <w:pPr>
            <w:pStyle w:val="86C8EE755C8A491AB2E928906E30A895"/>
          </w:pPr>
          <w:r w:rsidRPr="006C1347">
            <w:rPr>
              <w:rStyle w:val="a3"/>
            </w:rPr>
            <w:t>Место для ввода текста.</w:t>
          </w:r>
        </w:p>
      </w:docPartBody>
    </w:docPart>
    <w:docPart>
      <w:docPartPr>
        <w:name w:val="3C648305D72045B19E70A5FE38150855"/>
        <w:category>
          <w:name w:val="Общие"/>
          <w:gallery w:val="placeholder"/>
        </w:category>
        <w:types>
          <w:type w:val="bbPlcHdr"/>
        </w:types>
        <w:behaviors>
          <w:behavior w:val="content"/>
        </w:behaviors>
        <w:guid w:val="{26E6FD1C-15AE-4779-AAB6-EAF8D25C105F}"/>
      </w:docPartPr>
      <w:docPartBody>
        <w:p w:rsidR="0072113F" w:rsidRDefault="0061315C" w:rsidP="0061315C">
          <w:pPr>
            <w:pStyle w:val="3C648305D72045B19E70A5FE38150855"/>
          </w:pPr>
          <w:r w:rsidRPr="006C1347">
            <w:rPr>
              <w:rStyle w:val="a3"/>
            </w:rPr>
            <w:t>Место для ввода текста.</w:t>
          </w:r>
        </w:p>
      </w:docPartBody>
    </w:docPart>
    <w:docPart>
      <w:docPartPr>
        <w:name w:val="8F9D1C34092F41F8AD8AC9883A16AEE6"/>
        <w:category>
          <w:name w:val="Общие"/>
          <w:gallery w:val="placeholder"/>
        </w:category>
        <w:types>
          <w:type w:val="bbPlcHdr"/>
        </w:types>
        <w:behaviors>
          <w:behavior w:val="content"/>
        </w:behaviors>
        <w:guid w:val="{6FE43362-5716-4043-B44F-B1351B86326D}"/>
      </w:docPartPr>
      <w:docPartBody>
        <w:p w:rsidR="0072113F" w:rsidRDefault="0061315C" w:rsidP="0061315C">
          <w:pPr>
            <w:pStyle w:val="8F9D1C34092F41F8AD8AC9883A16AEE6"/>
          </w:pPr>
          <w:r w:rsidRPr="006C1347">
            <w:rPr>
              <w:rStyle w:val="a3"/>
            </w:rPr>
            <w:t>Место для ввода текста.</w:t>
          </w:r>
        </w:p>
      </w:docPartBody>
    </w:docPart>
    <w:docPart>
      <w:docPartPr>
        <w:name w:val="618329B7271B4D68B55E5DDDC210197F"/>
        <w:category>
          <w:name w:val="Общие"/>
          <w:gallery w:val="placeholder"/>
        </w:category>
        <w:types>
          <w:type w:val="bbPlcHdr"/>
        </w:types>
        <w:behaviors>
          <w:behavior w:val="content"/>
        </w:behaviors>
        <w:guid w:val="{20DCBDAB-723C-4DB0-A87B-0E7561E20506}"/>
      </w:docPartPr>
      <w:docPartBody>
        <w:p w:rsidR="0072113F" w:rsidRDefault="0061315C" w:rsidP="0061315C">
          <w:pPr>
            <w:pStyle w:val="618329B7271B4D68B55E5DDDC210197F"/>
          </w:pPr>
          <w:r w:rsidRPr="006C1347">
            <w:rPr>
              <w:rStyle w:val="a3"/>
            </w:rPr>
            <w:t>Место для ввода текста.</w:t>
          </w:r>
        </w:p>
      </w:docPartBody>
    </w:docPart>
    <w:docPart>
      <w:docPartPr>
        <w:name w:val="5CDD29743E8E4CAC920EF9F07021ECC1"/>
        <w:category>
          <w:name w:val="Общие"/>
          <w:gallery w:val="placeholder"/>
        </w:category>
        <w:types>
          <w:type w:val="bbPlcHdr"/>
        </w:types>
        <w:behaviors>
          <w:behavior w:val="content"/>
        </w:behaviors>
        <w:guid w:val="{CE85393A-6CC4-4878-898B-331D94EC45CF}"/>
      </w:docPartPr>
      <w:docPartBody>
        <w:p w:rsidR="008A4F9D" w:rsidRDefault="00254260" w:rsidP="00254260">
          <w:pPr>
            <w:pStyle w:val="5CDD29743E8E4CAC920EF9F07021ECC1"/>
          </w:pPr>
          <w:r w:rsidRPr="006C1347">
            <w:rPr>
              <w:rStyle w:val="a3"/>
            </w:rPr>
            <w:t>Место для ввода даты.</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PT Astra Serif">
    <w:altName w:val="Times New Roman"/>
    <w:charset w:val="01"/>
    <w:family w:val="roman"/>
    <w:pitch w:val="default"/>
  </w:font>
  <w:font w:name="Tahoma">
    <w:panose1 w:val="020B0604030504040204"/>
    <w:charset w:val="CC"/>
    <w:family w:val="swiss"/>
    <w:pitch w:val="variable"/>
    <w:sig w:usb0="E1002EFF" w:usb1="C000605B" w:usb2="00000029" w:usb3="00000000" w:csb0="000101FF" w:csb1="00000000"/>
  </w:font>
  <w:font w:name="Noto Sans Devanagari">
    <w:altName w:val="Arial"/>
    <w:charset w:val="00"/>
    <w:family w:val="swiss"/>
    <w:pitch w:val="variable"/>
    <w:sig w:usb0="00000003" w:usb1="00002046" w:usb2="00000000" w:usb3="00000000" w:csb0="00000001" w:csb1="00000000"/>
  </w:font>
  <w:font w:name="Courier New">
    <w:panose1 w:val="02070309020205020404"/>
    <w:charset w:val="CC"/>
    <w:family w:val="modern"/>
    <w:pitch w:val="fixed"/>
    <w:sig w:usb0="E0002EFF" w:usb1="C0007843" w:usb2="00000009" w:usb3="00000000" w:csb0="000001FF" w:csb1="00000000"/>
  </w:font>
  <w:font w:name="+mj-ea">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 w:name="Calibri">
    <w:panose1 w:val="020F0502020204030204"/>
    <w:charset w:val="CC"/>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7D22"/>
    <w:rsid w:val="00024B96"/>
    <w:rsid w:val="00061F9F"/>
    <w:rsid w:val="000A5DC6"/>
    <w:rsid w:val="000B7326"/>
    <w:rsid w:val="00215FDD"/>
    <w:rsid w:val="00254260"/>
    <w:rsid w:val="002565C7"/>
    <w:rsid w:val="002A3DB0"/>
    <w:rsid w:val="002B24BF"/>
    <w:rsid w:val="00333D12"/>
    <w:rsid w:val="003B69BD"/>
    <w:rsid w:val="003D4E3A"/>
    <w:rsid w:val="004544FC"/>
    <w:rsid w:val="004920AF"/>
    <w:rsid w:val="004C02D0"/>
    <w:rsid w:val="004E12EB"/>
    <w:rsid w:val="004E766B"/>
    <w:rsid w:val="004F7D49"/>
    <w:rsid w:val="00537ED6"/>
    <w:rsid w:val="00550021"/>
    <w:rsid w:val="0057545F"/>
    <w:rsid w:val="005E0C4B"/>
    <w:rsid w:val="005F0003"/>
    <w:rsid w:val="0061315C"/>
    <w:rsid w:val="00634FB5"/>
    <w:rsid w:val="006639A1"/>
    <w:rsid w:val="006D0431"/>
    <w:rsid w:val="006E2520"/>
    <w:rsid w:val="0072113F"/>
    <w:rsid w:val="00755A35"/>
    <w:rsid w:val="00761B9F"/>
    <w:rsid w:val="00783607"/>
    <w:rsid w:val="007916A7"/>
    <w:rsid w:val="007B0074"/>
    <w:rsid w:val="007C693B"/>
    <w:rsid w:val="007D73EB"/>
    <w:rsid w:val="007E147D"/>
    <w:rsid w:val="007E3B6F"/>
    <w:rsid w:val="00880154"/>
    <w:rsid w:val="008A1B98"/>
    <w:rsid w:val="008A2706"/>
    <w:rsid w:val="008A4F9D"/>
    <w:rsid w:val="008E11D5"/>
    <w:rsid w:val="008F7D22"/>
    <w:rsid w:val="00982656"/>
    <w:rsid w:val="009B03E0"/>
    <w:rsid w:val="00A35515"/>
    <w:rsid w:val="00A435BC"/>
    <w:rsid w:val="00A65498"/>
    <w:rsid w:val="00AD177F"/>
    <w:rsid w:val="00B23FB6"/>
    <w:rsid w:val="00B2681C"/>
    <w:rsid w:val="00BA53E9"/>
    <w:rsid w:val="00BC28BC"/>
    <w:rsid w:val="00C45B51"/>
    <w:rsid w:val="00C9245C"/>
    <w:rsid w:val="00CA204D"/>
    <w:rsid w:val="00CB4E94"/>
    <w:rsid w:val="00CF3FDF"/>
    <w:rsid w:val="00D364B0"/>
    <w:rsid w:val="00D52497"/>
    <w:rsid w:val="00D933B2"/>
    <w:rsid w:val="00DA0B30"/>
    <w:rsid w:val="00DA3E3B"/>
    <w:rsid w:val="00DB5D93"/>
    <w:rsid w:val="00DD1B8B"/>
    <w:rsid w:val="00EF5D7F"/>
    <w:rsid w:val="00F52D00"/>
    <w:rsid w:val="00F6635C"/>
    <w:rsid w:val="00FA0E48"/>
    <w:rsid w:val="00FA3654"/>
    <w:rsid w:val="00FB349F"/>
    <w:rsid w:val="00FC227B"/>
    <w:rsid w:val="00FC3F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254260"/>
    <w:rPr>
      <w:color w:val="808080"/>
    </w:rPr>
  </w:style>
  <w:style w:type="paragraph" w:customStyle="1" w:styleId="86C8EE755C8A491AB2E928906E30A895">
    <w:name w:val="86C8EE755C8A491AB2E928906E30A895"/>
    <w:rsid w:val="006639A1"/>
  </w:style>
  <w:style w:type="paragraph" w:customStyle="1" w:styleId="5CDD29743E8E4CAC920EF9F07021ECC1">
    <w:name w:val="5CDD29743E8E4CAC920EF9F07021ECC1"/>
    <w:rsid w:val="00254260"/>
  </w:style>
  <w:style w:type="paragraph" w:customStyle="1" w:styleId="A2D4C5626CE64B60B37374D130C09927">
    <w:name w:val="A2D4C5626CE64B60B37374D130C09927"/>
    <w:rsid w:val="00254260"/>
  </w:style>
  <w:style w:type="paragraph" w:customStyle="1" w:styleId="24388175F5944C028FB042E9A062A182">
    <w:name w:val="24388175F5944C028FB042E9A062A182"/>
    <w:rsid w:val="007C693B"/>
  </w:style>
  <w:style w:type="paragraph" w:customStyle="1" w:styleId="3C648305D72045B19E70A5FE38150855">
    <w:name w:val="3C648305D72045B19E70A5FE38150855"/>
    <w:rsid w:val="0061315C"/>
  </w:style>
  <w:style w:type="paragraph" w:customStyle="1" w:styleId="8F9D1C34092F41F8AD8AC9883A16AEE6">
    <w:name w:val="8F9D1C34092F41F8AD8AC9883A16AEE6"/>
    <w:rsid w:val="0061315C"/>
  </w:style>
  <w:style w:type="paragraph" w:customStyle="1" w:styleId="618329B7271B4D68B55E5DDDC210197F">
    <w:name w:val="618329B7271B4D68B55E5DDDC210197F"/>
    <w:rsid w:val="006131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B9F7C6-15BB-4470-8882-634F39B242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TotalTime>
  <Application>LibreOffice/7.3.6.2$Linux_X86_64 LibreOffice_project/30$Build-2</Application>
  <AppVersion>15.0000</AppVersion>
  <Pages>42</Pages>
  <Words>8513</Words>
  <Characters>56470</Characters>
  <CharactersWithSpaces>63452</CharactersWithSpaces>
  <Paragraphs>1833</Paragraphs>
  <Company>Грузовой терминал Пулково</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2019-01-28T08:05:00Z</dcterms:created>
  <dc:creator>Алексей</dc:creator>
  <dc:description/>
  <dc:language>ru-RU</dc:language>
  <cp:lastModifiedBy/>
  <cp:lastPrinted>2010-05-12T05:27:00Z</cp:lastPrinted>
  <dcterms:modified xsi:type="dcterms:W3CDTF">2024-10-08T09:16:22Z</dcterms:modified>
  <cp:revision>42</cp:revision>
  <dc:subject/>
  <dc:title>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PL_Дата документа">
    <vt:lpwstr>ezI2NGFkYTRlLWIyNzItNGVjYy1hMTE1LTEyNDZjOTU1NmJmYTozZTU1ZjA5MS00MWE0LTRlNTgtYTljNS1kYmU5MDc4MmNjZWN9</vt:lpwstr>
  </property>
  <property fmtid="{D5CDD505-2E9C-101B-9397-08002B2CF9AE}" pid="3" name="TPL_Должность подписывающего">
    <vt:lpwstr>ezI2NGFkYTRlLWIyNzItNGVjYy1hMTE1LTEyNDZjOTU1NmJmYTphOGNjNWMyYS1jZjg5LTQ2MTEtYTRmNC01MjQ5NzVhZDZhYmJ9LT57ZjdiZDQ4NTctMzVhYy00NTY0LWJkN2ItYzhlZThiYjRkMzY4OmI2MWVlNDk4LWZkYzctNDAwOS04NTdiLTRkNzcwMjBkYWJmOH0=</vt:lpwstr>
  </property>
  <property fmtid="{D5CDD505-2E9C-101B-9397-08002B2CF9AE}" pid="4" name="TPL_Заголовок к тексту">
    <vt:lpwstr>ezI2NGFkYTRlLWIyNzItNGVjYy1hMTE1LTEyNDZjOTU1NmJmYTo0YmMzOWVmYi0xZjQ2LTRhMWUtOGI4Yy0wNGYyYjkwZDZhOGJ9</vt:lpwstr>
  </property>
  <property fmtid="{D5CDD505-2E9C-101B-9397-08002B2CF9AE}" pid="5" name="TPL_Место издания">
    <vt:lpwstr>ezI2NGFkYTRlLWIyNzItNGVjYy1hMTE1LTEyNDZjOTU1NmJmYTplZDlmMWJiMC1kMWNmLTQ2N2UtODA2Ny1hY2E4NTIxMmU0NGR9LT57YzJmZDM3ZDAtYjM2OC00ZDM5LWJiYTgtMTRjOWEzZGYwYjcxOmZlMzhiOWJkLTRhNDQtNGZjMy1hYmY3LTcwZDM5YzVlMzk5Zn0tPnsxYWY1ODdmYS02OTE3LTRjMzItOGQ1Yy0yY2Y3MmRjMWYwNjg</vt:lpwstr>
  </property>
  <property fmtid="{D5CDD505-2E9C-101B-9397-08002B2CF9AE}" pid="6" name="TPL_Наименование приложений">
    <vt:lpwstr>QWRkZW5kYQ==</vt:lpwstr>
  </property>
  <property fmtid="{D5CDD505-2E9C-101B-9397-08002B2CF9AE}" pid="7" name="TPL_Номер распоряжения">
    <vt:lpwstr>ezI2NGFkYTRlLWIyNzItNGVjYy1hMTE1LTEyNDZjOTU1NmJmYToyNjNjZjA2OC1lMjI0LTRhODMtOWRmMC0xOThlODI4MTAxZDF9</vt:lpwstr>
  </property>
  <property fmtid="{D5CDD505-2E9C-101B-9397-08002B2CF9AE}" pid="8" name="TPL_Отметка об исполнителе">
    <vt:lpwstr>UGVyZm9ybWVyTm90ZXM=</vt:lpwstr>
  </property>
  <property fmtid="{D5CDD505-2E9C-101B-9397-08002B2CF9AE}" pid="9" name="TPL_ФИО подписывающего">
    <vt:lpwstr>ezI2NGFkYTRlLWIyNzItNGVjYy1hMTE1LTEyNDZjOTU1NmJmYTphOGNjNWMyYS1jZjg5LTQ2MTEtYTRmNC01MjQ5NzVhZDZhYmJ9LT5Jbml0aWFsc0FuZExhc3ROYW1l</vt:lpwstr>
  </property>
  <property fmtid="{D5CDD505-2E9C-101B-9397-08002B2CF9AE}" pid="10" name="TPL_Штрихкод">
    <vt:lpwstr>R2V0QmFyY29kZQ==</vt:lpwstr>
  </property>
  <property fmtid="{D5CDD505-2E9C-101B-9397-08002B2CF9AE}" pid="11" name="TPL_Юридическое наименование организации">
    <vt:lpwstr>ezI2NGFkYTRlLWIyNzItNGVjYy1hMTE1LTEyNDZjOTU1NmJmYTplZDlmMWJiMC1kMWNmLTQ2N2UtODA2Ny1hY2E4NTIxMmU0NGR9LT57YzJmZDM3ZDAtYjM2OC00ZDM5LWJiYTgtMTRjOWEzZGYwYjcxOjMzNDA1ZmE1LWE0Y2ItNGU2My1hZDA4LThjMmQyM2EzOWViNH0=</vt:lpwstr>
  </property>
</Properties>
</file>