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36"/>
        </w:rPr>
      </w:pPr>
      <w:r>
        <w:rPr/>
        <w:drawing>
          <wp:inline distT="0" distB="0" distL="0" distR="0">
            <wp:extent cx="678815" cy="84328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678815" cy="843280"/>
                    </a:xfrm>
                    <a:prstGeom prst="rect">
                      <a:avLst/>
                    </a:prstGeom>
                    <a:noFill/>
                  </pic:spPr>
                </pic:pic>
              </a:graphicData>
            </a:graphic>
          </wp:inline>
        </w:drawing>
      </w:r>
    </w:p>
    <w:p>
      <w:pPr>
        <w:pStyle w:val="Normal"/>
        <w:jc w:val="center"/>
        <w:rPr>
          <w:b/>
          <w:sz w:val="36"/>
        </w:rPr>
      </w:pPr>
      <w:r>
        <w:rPr>
          <w:b/>
          <w:sz w:val="36"/>
        </w:rPr>
        <w:t>Российская Федерация</w:t>
      </w:r>
    </w:p>
    <w:p>
      <w:pPr>
        <w:pStyle w:val="Normal"/>
        <w:jc w:val="center"/>
        <w:rPr>
          <w:b/>
          <w:sz w:val="28"/>
        </w:rPr>
      </w:pPr>
      <w:r>
        <w:rPr>
          <w:b/>
          <w:sz w:val="28"/>
        </w:rPr>
        <w:t>КЕМЕРОВСКАЯ ОБЛАСТЬ</w:t>
      </w:r>
    </w:p>
    <w:p>
      <w:pPr>
        <w:pStyle w:val="Normal"/>
        <w:jc w:val="center"/>
        <w:rPr>
          <w:b/>
          <w:sz w:val="36"/>
        </w:rPr>
      </w:pPr>
      <w:r>
        <w:rPr>
          <w:b/>
          <w:sz w:val="36"/>
        </w:rPr>
        <w:t>Топкинский муниципальный округ</w:t>
      </w:r>
    </w:p>
    <w:p>
      <w:pPr>
        <w:pStyle w:val="Normal"/>
        <w:jc w:val="center"/>
        <w:rPr>
          <w:b/>
          <w:sz w:val="28"/>
        </w:rPr>
      </w:pPr>
      <w:r>
        <w:rPr>
          <w:b/>
          <w:sz w:val="28"/>
        </w:rPr>
        <w:t xml:space="preserve">АДМИНИСТРАЦИЯ </w:t>
      </w:r>
    </w:p>
    <w:p>
      <w:pPr>
        <w:pStyle w:val="Normal"/>
        <w:jc w:val="center"/>
        <w:rPr>
          <w:b/>
          <w:sz w:val="28"/>
        </w:rPr>
      </w:pPr>
      <w:r>
        <w:rPr>
          <w:b/>
          <w:sz w:val="28"/>
        </w:rPr>
        <w:t>ТОПКИНСКОГО МУНИЦИПАЛЬНОГО ОКРУГА</w:t>
      </w:r>
    </w:p>
    <w:p>
      <w:pPr>
        <w:pStyle w:val="Heading1"/>
        <w:rPr/>
      </w:pPr>
      <w:r>
        <w:rPr/>
        <w:t>ПОСТАНОВЛЕНИЕ</w:t>
      </w:r>
    </w:p>
    <w:p>
      <w:pPr>
        <w:pStyle w:val="Normal"/>
        <w:rPr>
          <w:sz w:val="28"/>
        </w:rPr>
      </w:pPr>
      <w:r>
        <w:rPr>
          <w:sz w:val="28"/>
        </w:rPr>
      </w:r>
    </w:p>
    <w:p>
      <w:pPr>
        <w:pStyle w:val="Normal"/>
        <w:jc w:val="center"/>
        <w:rPr>
          <w:b/>
          <w:sz w:val="28"/>
        </w:rPr>
      </w:pPr>
      <w:r>
        <w:rPr>
          <w:b/>
          <w:sz w:val="28"/>
        </w:rPr>
        <w:t>от 09 октября 2025 года № 1979-п</w:t>
      </w:r>
    </w:p>
    <w:p>
      <w:pPr>
        <w:pStyle w:val="Normal"/>
        <w:jc w:val="center"/>
        <w:rPr>
          <w:b/>
          <w:sz w:val="28"/>
        </w:rPr>
      </w:pPr>
      <w:r>
        <w:rPr>
          <w:b/>
          <w:sz w:val="28"/>
        </w:rPr>
        <w:t>г.Топки</w:t>
      </w:r>
    </w:p>
    <w:p>
      <w:pPr>
        <w:pStyle w:val="Normal"/>
        <w:jc w:val="center"/>
        <w:rPr>
          <w:b/>
          <w:sz w:val="28"/>
        </w:rPr>
      </w:pPr>
      <w:r>
        <w:rPr>
          <w:b/>
          <w:sz w:val="28"/>
        </w:rPr>
      </w:r>
    </w:p>
    <w:p>
      <w:pPr>
        <w:pStyle w:val="Normal"/>
        <w:jc w:val="center"/>
        <w:rPr>
          <w:b/>
          <w:sz w:val="28"/>
        </w:rPr>
      </w:pPr>
      <w:r>
        <w:rPr>
          <w:b/>
          <w:sz w:val="28"/>
        </w:rPr>
        <w:t>Об утверждении муниципальной  программы  «Противодействие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 на 2026-2030 годы</w:t>
      </w:r>
    </w:p>
    <w:p>
      <w:pPr>
        <w:pStyle w:val="Normal"/>
        <w:ind w:firstLine="540"/>
        <w:jc w:val="center"/>
        <w:rPr>
          <w:sz w:val="28"/>
        </w:rPr>
      </w:pPr>
      <w:r>
        <w:rPr>
          <w:sz w:val="28"/>
        </w:rPr>
      </w:r>
    </w:p>
    <w:p>
      <w:pPr>
        <w:pStyle w:val="ConsPlusNormal1"/>
        <w:widowControl/>
        <w:ind w:firstLine="709"/>
        <w:jc w:val="both"/>
        <w:rPr>
          <w:rFonts w:ascii="Times New Roman" w:hAnsi="Times New Roman"/>
          <w:sz w:val="28"/>
        </w:rPr>
      </w:pPr>
      <w:r>
        <w:rPr>
          <w:rFonts w:ascii="Times New Roman" w:hAnsi="Times New Roman"/>
          <w:sz w:val="28"/>
        </w:rPr>
        <w:t>В соответствии с Бюджетным кодексом Российской Федерации,           п.п. «а», «г», «д» пункта 11 Концепции противодействия терроризму в Российской Федерации, утвержденной Президентом РФ от 05.10.2009, статьей 2 Федерального закона Российской Федерации от 06.03.2006                 № 35-ФЗ «О противодействии терроризму», статьей 5 Федерального закона Российской Федерации от 25.07.2002 № 114-ФЗ «О противодействии экстремистской деятельности», постановлением администрации Топкинского муниципального округа от 20.05.2025 № 827-п «Об утверждении  Порядка принятия решения о разработке муниципальных программ, их формирования и реализации», с целью противодействия терроризму и экстремизму на территории Топкинского муниципального округа:</w:t>
      </w:r>
    </w:p>
    <w:p>
      <w:pPr>
        <w:pStyle w:val="Normal"/>
        <w:ind w:firstLine="708"/>
        <w:jc w:val="both"/>
        <w:rPr>
          <w:sz w:val="28"/>
        </w:rPr>
      </w:pPr>
      <w:r>
        <w:rPr>
          <w:sz w:val="28"/>
        </w:rPr>
        <w:t>1. Утвердить муниципальную программу «Противодействие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 на 2026-2030 годы.</w:t>
      </w:r>
    </w:p>
    <w:p>
      <w:pPr>
        <w:pStyle w:val="Normal"/>
        <w:ind w:firstLine="720"/>
        <w:jc w:val="both"/>
        <w:rPr>
          <w:sz w:val="28"/>
        </w:rPr>
      </w:pPr>
      <w:r>
        <w:rPr>
          <w:sz w:val="28"/>
        </w:rPr>
        <w:t xml:space="preserve">2. Финансовому управлению администрации Топкинского муниципального округа предусмотреть </w:t>
      </w:r>
      <w:bookmarkStart w:id="0" w:name="_GoBack"/>
      <w:bookmarkEnd w:id="0"/>
      <w:r>
        <w:rPr>
          <w:sz w:val="28"/>
        </w:rPr>
        <w:t>в бюджете Топкинского муниципального округа на 2026 год и плановый период 2027-2030 годов ассигнования на реализацию муниципальной программы.</w:t>
      </w:r>
    </w:p>
    <w:p>
      <w:pPr>
        <w:pStyle w:val="Normal"/>
        <w:ind w:firstLine="720"/>
        <w:jc w:val="both"/>
        <w:rPr>
          <w:sz w:val="27"/>
        </w:rPr>
      </w:pPr>
      <w:r>
        <w:rPr>
          <w:sz w:val="28"/>
        </w:rPr>
        <w:t xml:space="preserve">3. </w:t>
      </w:r>
      <w:r>
        <w:rPr>
          <w:sz w:val="27"/>
        </w:rPr>
        <w:t xml:space="preserve">Признать утратившими силу с 01.01.2026: </w:t>
      </w:r>
    </w:p>
    <w:p>
      <w:pPr>
        <w:pStyle w:val="Normal"/>
        <w:ind w:firstLine="720"/>
        <w:jc w:val="both"/>
        <w:rPr>
          <w:sz w:val="28"/>
          <w:szCs w:val="28"/>
        </w:rPr>
      </w:pPr>
      <w:r>
        <w:rPr>
          <w:sz w:val="28"/>
        </w:rPr>
        <w:t xml:space="preserve">– </w:t>
      </w:r>
      <w:r>
        <w:rPr>
          <w:sz w:val="28"/>
        </w:rPr>
        <w:t xml:space="preserve">постановление администрации Топкинского муниципального района от 25.10.2019 № 839-п «Об утверждении муниципальной программы «Противодействие экстремизму, профилактика терроризма, поддержание </w:t>
      </w:r>
      <w:r>
        <w:rPr>
          <w:sz w:val="28"/>
          <w:szCs w:val="28"/>
        </w:rPr>
        <w:t xml:space="preserve">межнационального и межконфессионального согласия на территории Топкинского муниципального округа» на 2020-2027 годы»; </w:t>
      </w:r>
    </w:p>
    <w:p>
      <w:pPr>
        <w:pStyle w:val="Normal"/>
        <w:ind w:firstLine="720"/>
        <w:jc w:val="both"/>
        <w:rPr>
          <w:sz w:val="28"/>
          <w:szCs w:val="28"/>
        </w:rPr>
      </w:pPr>
      <w:r>
        <w:rPr>
          <w:sz w:val="28"/>
          <w:szCs w:val="28"/>
        </w:rPr>
        <w:t xml:space="preserve">– </w:t>
      </w:r>
      <w:r>
        <w:rPr>
          <w:sz w:val="28"/>
          <w:szCs w:val="28"/>
        </w:rPr>
        <w:t xml:space="preserve">постановление администрации Топкинского муниципального округа от 16.02.2023 № 215-п «О внесении изменений в постановление администрации Топкинского муниципального района от 25.10.2019 № 839-п «Об утверждении муниципальной программы «Противодействие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 на 2020-2024 годы»; </w:t>
      </w:r>
    </w:p>
    <w:p>
      <w:pPr>
        <w:pStyle w:val="Normal"/>
        <w:ind w:firstLine="720"/>
        <w:jc w:val="both"/>
        <w:rPr>
          <w:sz w:val="28"/>
          <w:szCs w:val="28"/>
        </w:rPr>
      </w:pPr>
      <w:r>
        <w:rPr>
          <w:sz w:val="28"/>
          <w:szCs w:val="28"/>
        </w:rPr>
        <w:t xml:space="preserve">– </w:t>
      </w:r>
      <w:r>
        <w:rPr>
          <w:sz w:val="28"/>
          <w:szCs w:val="28"/>
        </w:rPr>
        <w:t xml:space="preserve">постановление администрации Топкинского муниципального округа от 20.02.2025 № 288-п «О внесении изменений в постановление администрации Топкинского муниципального района от 25.10.2019 № 839-п «Об утверждении муниципальной программы «Противодействие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 на 2020-2026 годы». </w:t>
      </w:r>
    </w:p>
    <w:p>
      <w:pPr>
        <w:pStyle w:val="Normal"/>
        <w:ind w:firstLine="720"/>
        <w:jc w:val="both"/>
        <w:rPr>
          <w:sz w:val="28"/>
          <w:szCs w:val="28"/>
        </w:rPr>
      </w:pPr>
      <w:r>
        <w:rPr>
          <w:sz w:val="28"/>
          <w:szCs w:val="28"/>
        </w:rPr>
        <w:t>4.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pPr>
        <w:pStyle w:val="Normal"/>
        <w:ind w:firstLine="720"/>
        <w:jc w:val="both"/>
        <w:rPr>
          <w:sz w:val="28"/>
          <w:szCs w:val="28"/>
        </w:rPr>
      </w:pPr>
      <w:r>
        <w:rPr>
          <w:sz w:val="28"/>
          <w:szCs w:val="28"/>
        </w:rPr>
        <w:t>5. Контроль за исполнением постановления возложить на заместителя главы Топкинского муниципального округа по координации работы с правоохранительными органами и вопросам ГО и ЧС Н.С. Лоскутова.</w:t>
      </w:r>
    </w:p>
    <w:p>
      <w:pPr>
        <w:pStyle w:val="Normal"/>
        <w:ind w:firstLine="720"/>
        <w:jc w:val="both"/>
        <w:rPr>
          <w:sz w:val="28"/>
          <w:szCs w:val="28"/>
        </w:rPr>
      </w:pPr>
      <w:r>
        <w:rPr>
          <w:sz w:val="28"/>
          <w:szCs w:val="28"/>
        </w:rPr>
        <w:t xml:space="preserve">6. </w:t>
      </w:r>
      <w:r>
        <w:rPr>
          <w:color w:themeColor="text1" w:val="000000"/>
          <w:sz w:val="28"/>
          <w:szCs w:val="28"/>
        </w:rPr>
        <w:t>Постановление вступает в силу после официального обнародования и распространяет свое действие на правоотношения, возникшие с 01.01.2026 года.</w:t>
      </w:r>
    </w:p>
    <w:p>
      <w:pPr>
        <w:pStyle w:val="Normal"/>
        <w:jc w:val="both"/>
        <w:rPr>
          <w:sz w:val="28"/>
        </w:rPr>
      </w:pPr>
      <w:r>
        <w:rPr>
          <w:sz w:val="28"/>
        </w:rPr>
      </w:r>
    </w:p>
    <w:p>
      <w:pPr>
        <w:pStyle w:val="ConsPlusNonformat1"/>
        <w:widowControl/>
        <w:rPr>
          <w:rFonts w:ascii="Times New Roman" w:hAnsi="Times New Roman"/>
          <w:sz w:val="28"/>
        </w:rPr>
      </w:pPr>
      <w:r>
        <w:rPr>
          <w:rFonts w:ascii="Times New Roman" w:hAnsi="Times New Roman"/>
          <w:sz w:val="28"/>
        </w:rPr>
      </w:r>
    </w:p>
    <w:p>
      <w:pPr>
        <w:pStyle w:val="ConsPlusNonformat1"/>
        <w:widowControl/>
        <w:rPr>
          <w:rFonts w:ascii="Times New Roman" w:hAnsi="Times New Roman"/>
          <w:sz w:val="28"/>
        </w:rPr>
      </w:pPr>
      <w:r>
        <w:rPr>
          <w:rFonts w:ascii="Times New Roman" w:hAnsi="Times New Roman"/>
          <w:sz w:val="28"/>
        </w:rPr>
      </w:r>
    </w:p>
    <w:p>
      <w:pPr>
        <w:pStyle w:val="ConsPlusNormal1"/>
        <w:widowControl/>
        <w:ind w:hanging="0"/>
        <w:jc w:val="both"/>
        <w:rPr>
          <w:rFonts w:ascii="Times New Roman" w:hAnsi="Times New Roman"/>
          <w:sz w:val="28"/>
        </w:rPr>
      </w:pPr>
      <w:r>
        <w:rPr>
          <w:rFonts w:ascii="Times New Roman" w:hAnsi="Times New Roman"/>
          <w:sz w:val="28"/>
        </w:rPr>
        <w:t>Глава Топкинского</w:t>
      </w:r>
    </w:p>
    <w:p>
      <w:pPr>
        <w:pStyle w:val="ConsPlusNormal1"/>
        <w:widowControl/>
        <w:ind w:hanging="0"/>
        <w:jc w:val="both"/>
        <w:rPr>
          <w:rFonts w:ascii="Times New Roman" w:hAnsi="Times New Roman"/>
          <w:sz w:val="28"/>
        </w:rPr>
      </w:pPr>
      <w:r>
        <w:rPr>
          <w:rFonts w:ascii="Times New Roman" w:hAnsi="Times New Roman"/>
          <w:sz w:val="28"/>
        </w:rPr>
        <w:t>муниципального района                                                                  С.В.Фролов</w:t>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ConsPlusNormal1"/>
        <w:widowControl/>
        <w:ind w:hanging="0"/>
        <w:jc w:val="both"/>
        <w:rPr>
          <w:rFonts w:ascii="Times New Roman" w:hAnsi="Times New Roman"/>
          <w:sz w:val="28"/>
        </w:rPr>
      </w:pPr>
      <w:r>
        <w:rPr/>
      </w:r>
    </w:p>
    <w:p>
      <w:pPr>
        <w:pStyle w:val="NormalWeb1"/>
        <w:jc w:val="right"/>
        <w:rPr>
          <w:sz w:val="28"/>
        </w:rPr>
      </w:pPr>
      <w:r>
        <w:rPr>
          <w:sz w:val="28"/>
        </w:rPr>
        <w:t>УТВЕРЖДЕНА</w:t>
      </w:r>
    </w:p>
    <w:p>
      <w:pPr>
        <w:pStyle w:val="NormalWeb1"/>
        <w:jc w:val="right"/>
        <w:rPr>
          <w:sz w:val="28"/>
        </w:rPr>
      </w:pPr>
      <w:r>
        <w:rPr>
          <w:sz w:val="28"/>
        </w:rPr>
        <w:t>постановлением администрации</w:t>
      </w:r>
    </w:p>
    <w:p>
      <w:pPr>
        <w:pStyle w:val="NormalWeb1"/>
        <w:jc w:val="right"/>
        <w:rPr>
          <w:sz w:val="28"/>
        </w:rPr>
      </w:pPr>
      <w:r>
        <w:rPr>
          <w:sz w:val="28"/>
        </w:rPr>
        <w:t>Топкинского муниципального района</w:t>
      </w:r>
    </w:p>
    <w:p>
      <w:pPr>
        <w:pStyle w:val="NormalWeb1"/>
        <w:jc w:val="right"/>
        <w:rPr>
          <w:sz w:val="28"/>
        </w:rPr>
      </w:pPr>
      <w:r>
        <w:rPr>
          <w:sz w:val="28"/>
        </w:rPr>
        <w:t>от 09 октября 2025 года №</w:t>
      </w:r>
      <w:bookmarkStart w:id="1" w:name="_GoBack_Копия_1"/>
      <w:bookmarkEnd w:id="1"/>
      <w:r>
        <w:rPr>
          <w:sz w:val="28"/>
        </w:rPr>
        <w:t xml:space="preserve"> 1979-п</w:t>
      </w:r>
    </w:p>
    <w:p>
      <w:pPr>
        <w:pStyle w:val="NormalWeb1"/>
        <w:jc w:val="right"/>
        <w:rPr>
          <w:sz w:val="28"/>
        </w:rPr>
      </w:pPr>
      <w:r>
        <w:rPr>
          <w:sz w:val="28"/>
        </w:rPr>
      </w:r>
    </w:p>
    <w:p>
      <w:pPr>
        <w:pStyle w:val="NormalWeb1"/>
        <w:jc w:val="center"/>
        <w:rPr>
          <w:b/>
          <w:sz w:val="28"/>
        </w:rPr>
      </w:pPr>
      <w:r>
        <w:rPr>
          <w:b/>
          <w:sz w:val="28"/>
        </w:rPr>
        <w:t>Муниципальная программа</w:t>
      </w:r>
    </w:p>
    <w:p>
      <w:pPr>
        <w:pStyle w:val="NormalWeb1"/>
        <w:jc w:val="center"/>
        <w:rPr>
          <w:b/>
          <w:sz w:val="28"/>
        </w:rPr>
      </w:pPr>
      <w:r>
        <w:rPr>
          <w:b/>
          <w:sz w:val="28"/>
        </w:rPr>
        <w:t>«Противодействие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w:t>
      </w:r>
    </w:p>
    <w:p>
      <w:pPr>
        <w:pStyle w:val="NormalWeb1"/>
        <w:jc w:val="center"/>
        <w:rPr>
          <w:b/>
          <w:sz w:val="28"/>
        </w:rPr>
      </w:pPr>
      <w:r>
        <w:rPr>
          <w:b/>
          <w:sz w:val="28"/>
        </w:rPr>
        <w:t>на 2026-2030 годы</w:t>
      </w:r>
    </w:p>
    <w:p>
      <w:pPr>
        <w:pStyle w:val="NormalWeb1"/>
        <w:jc w:val="center"/>
        <w:rPr>
          <w:b/>
          <w:sz w:val="28"/>
        </w:rPr>
      </w:pPr>
      <w:r>
        <w:rPr>
          <w:b/>
          <w:sz w:val="28"/>
        </w:rPr>
      </w:r>
    </w:p>
    <w:p>
      <w:pPr>
        <w:pStyle w:val="NormalWeb1"/>
        <w:jc w:val="center"/>
        <w:rPr>
          <w:b/>
          <w:sz w:val="28"/>
        </w:rPr>
      </w:pPr>
      <w:r>
        <w:rPr>
          <w:b/>
          <w:sz w:val="28"/>
        </w:rPr>
        <w:t>Паспорт муниципальной программы</w:t>
      </w:r>
    </w:p>
    <w:p>
      <w:pPr>
        <w:pStyle w:val="NormalWeb1"/>
        <w:jc w:val="center"/>
        <w:rPr>
          <w:b/>
          <w:sz w:val="28"/>
        </w:rPr>
      </w:pPr>
      <w:r>
        <w:rPr>
          <w:b/>
          <w:sz w:val="28"/>
        </w:rPr>
        <w:t>«Противодействие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w:t>
      </w:r>
    </w:p>
    <w:p>
      <w:pPr>
        <w:pStyle w:val="NormalWeb1"/>
        <w:jc w:val="center"/>
        <w:rPr>
          <w:b/>
          <w:sz w:val="28"/>
        </w:rPr>
      </w:pPr>
      <w:r>
        <w:rPr>
          <w:b/>
          <w:sz w:val="28"/>
        </w:rPr>
        <w:t>на 2026-2030 годы</w:t>
      </w:r>
    </w:p>
    <w:p>
      <w:pPr>
        <w:pStyle w:val="NormalWeb1"/>
        <w:jc w:val="center"/>
        <w:rPr>
          <w:b/>
          <w:color w:val="0000FF"/>
          <w:sz w:val="28"/>
        </w:rPr>
      </w:pPr>
      <w:r>
        <w:rPr>
          <w:b/>
          <w:color w:val="0000FF"/>
          <w:sz w:val="28"/>
        </w:rPr>
      </w:r>
    </w:p>
    <w:tbl>
      <w:tblPr>
        <w:tblW w:w="9322"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2985"/>
        <w:gridCol w:w="6336"/>
      </w:tblGrid>
      <w:tr>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Наименование муниципальной</w:t>
            </w:r>
          </w:p>
          <w:p>
            <w:pPr>
              <w:pStyle w:val="Normal"/>
              <w:widowControl w:val="false"/>
              <w:rPr>
                <w:sz w:val="22"/>
                <w:szCs w:val="22"/>
              </w:rPr>
            </w:pPr>
            <w:r>
              <w:rPr>
                <w:sz w:val="22"/>
                <w:szCs w:val="22"/>
              </w:rPr>
              <w:t>программы</w:t>
            </w:r>
          </w:p>
        </w:tc>
        <w:tc>
          <w:tcPr>
            <w:tcW w:w="63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Муниципальная программа «Противодействие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 на 2026-2030 годы (далее - Программа)</w:t>
            </w:r>
          </w:p>
        </w:tc>
      </w:tr>
      <w:tr>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Куратор</w:t>
            </w:r>
          </w:p>
          <w:p>
            <w:pPr>
              <w:pStyle w:val="Normal"/>
              <w:widowControl w:val="false"/>
              <w:rPr>
                <w:sz w:val="22"/>
                <w:szCs w:val="22"/>
              </w:rPr>
            </w:pPr>
            <w:r>
              <w:rPr>
                <w:sz w:val="22"/>
                <w:szCs w:val="22"/>
              </w:rPr>
              <w:t>Программы</w:t>
            </w:r>
          </w:p>
        </w:tc>
        <w:tc>
          <w:tcPr>
            <w:tcW w:w="6336" w:type="dxa"/>
            <w:tcBorders>
              <w:top w:val="single" w:sz="4" w:space="0" w:color="000000"/>
              <w:left w:val="single" w:sz="4" w:space="0" w:color="000000"/>
              <w:bottom w:val="single" w:sz="4" w:space="0" w:color="000000"/>
              <w:right w:val="single" w:sz="4" w:space="0" w:color="000000"/>
            </w:tcBorders>
          </w:tcPr>
          <w:p>
            <w:pPr>
              <w:pStyle w:val="ConsPlusNonformat11"/>
              <w:jc w:val="both"/>
              <w:rPr>
                <w:sz w:val="22"/>
                <w:szCs w:val="22"/>
              </w:rPr>
            </w:pPr>
            <w:r>
              <w:rPr>
                <w:rFonts w:ascii="Times New Roman" w:hAnsi="Times New Roman"/>
                <w:sz w:val="22"/>
                <w:szCs w:val="22"/>
              </w:rPr>
              <w:t>Заместитель главы Топкинского муниципального района по координации работы с правоохранительными органами и вопросам ГО и ЧС</w:t>
            </w:r>
          </w:p>
        </w:tc>
      </w:tr>
      <w:tr>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Ответственный исполнитель Программы</w:t>
            </w:r>
          </w:p>
        </w:tc>
        <w:tc>
          <w:tcPr>
            <w:tcW w:w="633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Отдел ГО, предупреждения и ликвидации ЧС администрации Топкинского  муниципального округа</w:t>
            </w:r>
          </w:p>
        </w:tc>
      </w:tr>
      <w:tr>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Исполнители</w:t>
            </w:r>
          </w:p>
          <w:p>
            <w:pPr>
              <w:pStyle w:val="Normal"/>
              <w:widowControl w:val="false"/>
              <w:rPr>
                <w:sz w:val="22"/>
                <w:szCs w:val="22"/>
              </w:rPr>
            </w:pPr>
            <w:r>
              <w:rPr>
                <w:sz w:val="22"/>
                <w:szCs w:val="22"/>
              </w:rPr>
              <w:t>программных мероприятий</w:t>
            </w:r>
          </w:p>
        </w:tc>
        <w:tc>
          <w:tcPr>
            <w:tcW w:w="63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Управление образования администрации Топкинского муниципального округа;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Управление культуры, спорта и молодежной политики администрации Топкинского муниципального округа;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Отдел ГО, предупреждения и ликвидации ЧС администрации Топкинского муниципального округа;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xml:space="preserve">– </w:t>
            </w:r>
            <w:r>
              <w:rPr>
                <w:sz w:val="22"/>
                <w:szCs w:val="22"/>
              </w:rPr>
              <w:t>Управление по работе с обращениями граждан и информационными ресурсами (МЦУ) администрации Топкинского муниципального округа.</w:t>
            </w:r>
          </w:p>
        </w:tc>
      </w:tr>
      <w:tr>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Период реализации</w:t>
            </w:r>
          </w:p>
        </w:tc>
        <w:tc>
          <w:tcPr>
            <w:tcW w:w="63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2026-2030 годы</w:t>
            </w:r>
          </w:p>
        </w:tc>
      </w:tr>
      <w:tr>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Цели Программы</w:t>
            </w:r>
          </w:p>
        </w:tc>
        <w:tc>
          <w:tcPr>
            <w:tcW w:w="6336" w:type="dxa"/>
            <w:tcBorders>
              <w:top w:val="single" w:sz="4" w:space="0" w:color="000000"/>
              <w:left w:val="single" w:sz="4" w:space="0" w:color="000000"/>
              <w:bottom w:val="single" w:sz="4" w:space="0" w:color="000000"/>
              <w:right w:val="single" w:sz="4" w:space="0" w:color="000000"/>
            </w:tcBorders>
          </w:tcPr>
          <w:p>
            <w:pPr>
              <w:pStyle w:val="HTMLPreformatted1"/>
              <w:widowControl w:val="false"/>
              <w:jc w:val="both"/>
              <w:rPr>
                <w:sz w:val="22"/>
                <w:szCs w:val="22"/>
              </w:rPr>
            </w:pPr>
            <w:r>
              <w:rPr>
                <w:rFonts w:ascii="Times New Roman" w:hAnsi="Times New Roman"/>
                <w:sz w:val="22"/>
                <w:szCs w:val="22"/>
              </w:rPr>
              <w:t>Своевременное предупреждение, выявление и пресечение террористической и   экстремистской деятельности;  совершенствование системы профилактических мер антитеррористической и  антиэкстремистской направленности; повышение уровня межведомственного взаимодействия по профилактике терроризма и экстремизма;</w:t>
            </w:r>
          </w:p>
          <w:p>
            <w:pPr>
              <w:pStyle w:val="HTMLPreformatted1"/>
              <w:widowControl w:val="false"/>
              <w:jc w:val="both"/>
              <w:rPr>
                <w:sz w:val="22"/>
                <w:szCs w:val="22"/>
              </w:rPr>
            </w:pPr>
            <w:r>
              <w:rPr>
                <w:rFonts w:ascii="Times New Roman" w:hAnsi="Times New Roman"/>
                <w:sz w:val="22"/>
                <w:szCs w:val="22"/>
              </w:rPr>
              <w:t>воспитание культуры толерантности и межнационального     согласия; 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tc>
      </w:tr>
      <w:tr>
        <w:trPr>
          <w:trHeight w:val="136" w:hRule="atLeast"/>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sz w:val="22"/>
                <w:szCs w:val="22"/>
              </w:rPr>
            </w:pPr>
            <w:r>
              <w:rPr>
                <w:sz w:val="22"/>
                <w:szCs w:val="22"/>
              </w:rPr>
              <w:t>Задачи Программы</w:t>
            </w:r>
          </w:p>
        </w:tc>
        <w:tc>
          <w:tcPr>
            <w:tcW w:w="63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Усиление антитеррористической защищенности и укреплённости объектов, находящихся в муниципальной собственности; проведение профилактических мероприятий и мероприятий по информационно-пропагандистскому обеспечению, направленных на предупреждение террористической и экстремистской деятельности; проведение антитеррористических учений; достижение необходимого уровня правовой культуры граждан как основы толерантного сознания и поведения;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tc>
      </w:tr>
      <w:tr>
        <w:trPr>
          <w:trHeight w:val="136" w:hRule="atLeast"/>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sz w:val="22"/>
                <w:szCs w:val="22"/>
              </w:rPr>
            </w:pPr>
            <w:r>
              <w:rPr>
                <w:sz w:val="22"/>
                <w:szCs w:val="22"/>
              </w:rPr>
              <w:t>Срок реализации Программы</w:t>
            </w:r>
          </w:p>
        </w:tc>
        <w:tc>
          <w:tcPr>
            <w:tcW w:w="6336" w:type="dxa"/>
            <w:tcBorders>
              <w:top w:val="single" w:sz="4" w:space="0" w:color="000000"/>
              <w:left w:val="single" w:sz="4" w:space="0" w:color="000000"/>
              <w:bottom w:val="single" w:sz="4" w:space="0" w:color="000000"/>
              <w:right w:val="single" w:sz="4" w:space="0" w:color="000000"/>
            </w:tcBorders>
          </w:tcPr>
          <w:p>
            <w:pPr>
              <w:pStyle w:val="HTMLPreformatted1"/>
              <w:widowControl w:val="false"/>
              <w:jc w:val="both"/>
              <w:rPr>
                <w:sz w:val="22"/>
                <w:szCs w:val="22"/>
              </w:rPr>
            </w:pPr>
            <w:r>
              <w:rPr>
                <w:rFonts w:ascii="Times New Roman" w:hAnsi="Times New Roman"/>
                <w:sz w:val="22"/>
                <w:szCs w:val="22"/>
              </w:rPr>
              <w:t>2026-2030 годы</w:t>
            </w:r>
          </w:p>
          <w:p>
            <w:pPr>
              <w:pStyle w:val="HTMLPreformatted1"/>
              <w:widowControl w:val="false"/>
              <w:jc w:val="both"/>
              <w:rPr>
                <w:rFonts w:ascii="Times New Roman" w:hAnsi="Times New Roman"/>
                <w:sz w:val="22"/>
                <w:szCs w:val="22"/>
              </w:rPr>
            </w:pPr>
            <w:r>
              <w:rPr>
                <w:rFonts w:ascii="Times New Roman" w:hAnsi="Times New Roman"/>
                <w:sz w:val="22"/>
                <w:szCs w:val="22"/>
              </w:rPr>
            </w:r>
          </w:p>
        </w:tc>
      </w:tr>
      <w:tr>
        <w:trPr>
          <w:trHeight w:val="136" w:hRule="atLeast"/>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sz w:val="22"/>
                <w:szCs w:val="22"/>
              </w:rPr>
            </w:pPr>
            <w:r>
              <w:rPr>
                <w:sz w:val="22"/>
                <w:szCs w:val="22"/>
              </w:rPr>
              <w:t>Объемы и источники финансирования Программы в целом и с разбивкой по годам ее реализации</w:t>
            </w:r>
          </w:p>
        </w:tc>
        <w:tc>
          <w:tcPr>
            <w:tcW w:w="6336" w:type="dxa"/>
            <w:tcBorders>
              <w:top w:val="single" w:sz="4" w:space="0" w:color="000000"/>
              <w:left w:val="single" w:sz="4" w:space="0" w:color="000000"/>
              <w:bottom w:val="single" w:sz="4" w:space="0" w:color="000000"/>
              <w:right w:val="single" w:sz="4" w:space="0" w:color="000000"/>
            </w:tcBorders>
          </w:tcPr>
          <w:p>
            <w:pPr>
              <w:pStyle w:val="ConsPlusNormal11"/>
              <w:ind w:hanging="0"/>
              <w:jc w:val="both"/>
              <w:rPr>
                <w:sz w:val="22"/>
                <w:szCs w:val="22"/>
              </w:rPr>
            </w:pPr>
            <w:r>
              <w:rPr>
                <w:rFonts w:ascii="Times New Roman" w:hAnsi="Times New Roman"/>
                <w:sz w:val="22"/>
                <w:szCs w:val="22"/>
              </w:rPr>
              <w:t>Финансирование Программы предполагается осуществлять за счет средств местного бюджета:</w:t>
            </w:r>
          </w:p>
          <w:p>
            <w:pPr>
              <w:pStyle w:val="ConsPlusCell11"/>
              <w:widowControl w:val="false"/>
              <w:jc w:val="both"/>
              <w:rPr>
                <w:sz w:val="22"/>
                <w:szCs w:val="22"/>
              </w:rPr>
            </w:pPr>
            <w:r>
              <w:rPr>
                <w:rFonts w:ascii="Times New Roman" w:hAnsi="Times New Roman"/>
                <w:sz w:val="22"/>
                <w:szCs w:val="22"/>
              </w:rPr>
              <w:t>2026г. – 3246,0 тыс. рублей</w:t>
            </w:r>
          </w:p>
          <w:p>
            <w:pPr>
              <w:pStyle w:val="ConsPlusCell11"/>
              <w:widowControl w:val="false"/>
              <w:jc w:val="both"/>
              <w:rPr>
                <w:sz w:val="22"/>
                <w:szCs w:val="22"/>
              </w:rPr>
            </w:pPr>
            <w:r>
              <w:rPr>
                <w:rFonts w:ascii="Times New Roman" w:hAnsi="Times New Roman"/>
                <w:sz w:val="22"/>
                <w:szCs w:val="22"/>
              </w:rPr>
              <w:t>2027г. — 5276,0 тыс. рублей</w:t>
            </w:r>
          </w:p>
          <w:p>
            <w:pPr>
              <w:pStyle w:val="Normal"/>
              <w:widowControl w:val="false"/>
              <w:ind w:right="250"/>
              <w:jc w:val="both"/>
              <w:rPr>
                <w:sz w:val="22"/>
                <w:szCs w:val="22"/>
              </w:rPr>
            </w:pPr>
            <w:r>
              <w:rPr>
                <w:sz w:val="22"/>
                <w:szCs w:val="22"/>
              </w:rPr>
              <w:t>2028г. –  0,0 тыс. рублей</w:t>
            </w:r>
          </w:p>
          <w:p>
            <w:pPr>
              <w:pStyle w:val="ConsPlusCell11"/>
              <w:widowControl w:val="false"/>
              <w:jc w:val="both"/>
              <w:rPr>
                <w:sz w:val="22"/>
                <w:szCs w:val="22"/>
              </w:rPr>
            </w:pPr>
            <w:r>
              <w:rPr>
                <w:rFonts w:ascii="Times New Roman" w:hAnsi="Times New Roman"/>
                <w:sz w:val="22"/>
                <w:szCs w:val="22"/>
              </w:rPr>
              <w:t>2029г. — 0,0 тыс. рублей</w:t>
            </w:r>
          </w:p>
          <w:p>
            <w:pPr>
              <w:pStyle w:val="Normal"/>
              <w:widowControl w:val="false"/>
              <w:ind w:right="250"/>
              <w:jc w:val="both"/>
              <w:rPr>
                <w:sz w:val="22"/>
                <w:szCs w:val="22"/>
              </w:rPr>
            </w:pPr>
            <w:r>
              <w:rPr>
                <w:sz w:val="22"/>
                <w:szCs w:val="22"/>
              </w:rPr>
              <w:t>2030г. – 0,0 тыс. рублей</w:t>
            </w:r>
          </w:p>
        </w:tc>
      </w:tr>
      <w:tr>
        <w:trPr/>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sz w:val="22"/>
                <w:szCs w:val="22"/>
              </w:rPr>
            </w:pPr>
            <w:r>
              <w:rPr>
                <w:sz w:val="22"/>
                <w:szCs w:val="22"/>
              </w:rPr>
              <w:t>Ожидаемые результаты от реализации Программы</w:t>
            </w:r>
          </w:p>
        </w:tc>
        <w:tc>
          <w:tcPr>
            <w:tcW w:w="63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укрепление взаимодействия органов местного самоуправления и территориальных   органов в сфере противодействия терроризму и экстремизму;</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обеспечение безопасного функционирования потенциально опасных объектов;</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повышение уровня антитеррористической защищенности мест массового пребывания людей;                                                   </w:t>
              <w:br/>
              <w:t>- формирование нетерпимости к проявлениям терроризма и экстремизма, а также толерантного сознания, позитивных установок к представителям иных этнических и  конфессиональных сообществ;</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гармонизация межнациональных и межконфессиональных отношений, повышения уровня этносоциальной   комфортности;</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2"/>
                <w:szCs w:val="22"/>
              </w:rPr>
            </w:pPr>
            <w:r>
              <w:rPr>
                <w:sz w:val="22"/>
                <w:szCs w:val="22"/>
              </w:rPr>
              <w:t>- повышение степени информирования населения о мерах, принимаемых органами  местного самоуправления Топкинского муниципального округа в сфере противодействия терроризму и экстремизму.</w:t>
            </w:r>
          </w:p>
        </w:tc>
      </w:tr>
    </w:tbl>
    <w:p>
      <w:pPr>
        <w:pStyle w:val="HTMLPreformatted1"/>
        <w:rPr>
          <w:rFonts w:ascii="Times New Roman" w:hAnsi="Times New Roman"/>
          <w:color w:val="0000FF"/>
          <w:sz w:val="28"/>
        </w:rPr>
      </w:pPr>
      <w:r>
        <w:rPr>
          <w:rFonts w:ascii="Times New Roman" w:hAnsi="Times New Roman"/>
          <w:color w:val="0000FF"/>
          <w:sz w:val="28"/>
        </w:rPr>
      </w:r>
    </w:p>
    <w:p>
      <w:pPr>
        <w:pStyle w:val="Normal"/>
        <w:jc w:val="center"/>
        <w:rPr/>
      </w:pPr>
      <w:r>
        <w:rPr>
          <w:b/>
          <w:sz w:val="28"/>
        </w:rPr>
        <w:t xml:space="preserve">1. Оценка текущего состояния </w:t>
      </w:r>
      <w:r>
        <w:rPr>
          <w:b/>
          <w:spacing w:val="-3"/>
          <w:sz w:val="28"/>
        </w:rPr>
        <w:t>в Топкинском  муниципальном округе сферы деятельности, для решения задач с указанием основных показателей и формулировкой основных проблем</w:t>
      </w:r>
    </w:p>
    <w:p>
      <w:pPr>
        <w:pStyle w:val="Normal"/>
        <w:ind w:firstLine="567"/>
        <w:jc w:val="both"/>
        <w:rPr>
          <w:sz w:val="28"/>
        </w:rPr>
      </w:pPr>
      <w:r>
        <w:rPr>
          <w:sz w:val="28"/>
        </w:rPr>
      </w:r>
    </w:p>
    <w:p>
      <w:pPr>
        <w:pStyle w:val="Normal"/>
        <w:ind w:firstLine="567"/>
        <w:jc w:val="both"/>
        <w:rPr>
          <w:sz w:val="28"/>
        </w:rPr>
      </w:pPr>
      <w:r>
        <w:rPr>
          <w:sz w:val="28"/>
        </w:rPr>
        <w:t xml:space="preserve">Необходимость подготовки Программы и последующей ее реализации вызвана тем, что современная ситуация в сфере борьбы с терроризмом и экстремизмом в Российской Федерации остается напряженной. </w:t>
      </w:r>
    </w:p>
    <w:p>
      <w:pPr>
        <w:pStyle w:val="NormalWeb1"/>
        <w:ind w:firstLine="567"/>
        <w:jc w:val="both"/>
        <w:rPr>
          <w:sz w:val="28"/>
        </w:rPr>
      </w:pPr>
      <w:r>
        <w:rPr>
          <w:sz w:val="28"/>
        </w:rPr>
        <w:t>В настоящее время Президентом Российской Федерации и Правительством Российской Федерации намечены задачи предотвращения террористических проявлений и рассматриваются в качестве приоритетной. По сведениям Национального антитеррористического комитета, уровень террористической опасности продолжает оставаться высоким, сохраняется угроза совершения террористических актов на всей территории Российской Федерации, масштабы последствий террористических актов значительны. Террористы стремятся расширить географию своей деятельности.</w:t>
      </w:r>
    </w:p>
    <w:p>
      <w:pPr>
        <w:pStyle w:val="NormalWeb1"/>
        <w:ind w:firstLine="567"/>
        <w:jc w:val="both"/>
        <w:rPr>
          <w:sz w:val="28"/>
        </w:rPr>
      </w:pPr>
      <w:r>
        <w:rPr>
          <w:sz w:val="28"/>
        </w:rPr>
        <w:t>В сложившихся обстоятельствах необходима реализация комплекса мероприятий в области  противодействия терроризму и разрушения его основ. Повышенного внимания требует обеспечение безопасности граждан, защита потенциальных объектов террористических посягательств, в том числе критически важных и потенциально опасных объектов инфраструктуры и жизнеобеспечения, а также мест массового пребывания людей.</w:t>
      </w:r>
    </w:p>
    <w:p>
      <w:pPr>
        <w:pStyle w:val="ConsPlusNormal11"/>
        <w:ind w:firstLine="567"/>
        <w:jc w:val="both"/>
        <w:rPr>
          <w:rFonts w:ascii="Times New Roman" w:hAnsi="Times New Roman"/>
          <w:sz w:val="28"/>
        </w:rPr>
      </w:pPr>
      <w:r>
        <w:rPr>
          <w:rFonts w:ascii="Times New Roman" w:hAnsi="Times New Roman"/>
          <w:sz w:val="28"/>
        </w:rPr>
        <w:t>Учитывая поступающую в правоохранительные органы информацию об активизации деятельности членов бандформирований по планированию террористических акций в различных городах страны, в том числе и в городах Кузбасса, терроризм все больше приобретает характер реальной угрозы для безопасности жителей Топкинского муниципального округа. На этом фоне приоритетной задачей администрации Топкинского муниципального округа является защита жизни, здоровья, конституционных прав и свобод человека и гражданина.</w:t>
      </w:r>
    </w:p>
    <w:p>
      <w:pPr>
        <w:pStyle w:val="ConsPlusNormal11"/>
        <w:ind w:firstLine="567"/>
        <w:jc w:val="both"/>
        <w:rPr>
          <w:rFonts w:ascii="Times New Roman" w:hAnsi="Times New Roman"/>
          <w:sz w:val="28"/>
        </w:rPr>
      </w:pPr>
      <w:r>
        <w:rPr>
          <w:rFonts w:ascii="Times New Roman" w:hAnsi="Times New Roman"/>
          <w:sz w:val="28"/>
        </w:rPr>
        <w:t xml:space="preserve">Наиболее остро встает проблема обеспечения антитеррористической защищенности объектов социальной сферы. Уровень материально-технического оснащения учреждений образования и культуры характеризуется достаточно высокой степенью уязвимости в диверсионно-террористическом отношении. Имеют место недостаточные знания и отсутствие навыков обучающихся, посетителей и работников правилам поведения в чрезвычайных ситуациях, вызванных проявлениями терроризма и экстремизма. </w:t>
      </w:r>
    </w:p>
    <w:p>
      <w:pPr>
        <w:pStyle w:val="ConsPlusNormal11"/>
        <w:ind w:firstLine="567"/>
        <w:jc w:val="both"/>
        <w:rPr>
          <w:rFonts w:ascii="Times New Roman" w:hAnsi="Times New Roman"/>
          <w:sz w:val="28"/>
        </w:rPr>
      </w:pPr>
      <w:r>
        <w:rPr>
          <w:rFonts w:ascii="Times New Roman" w:hAnsi="Times New Roman"/>
          <w:sz w:val="28"/>
        </w:rPr>
        <w:t xml:space="preserve">В связи с сокращением количества сотрудников правоохранительных органов для охраны общественного порядка и обеспечения общественной безопасности в местах массового пребывания людей необходимо привлечение к этой работе сотрудников частных охранных организаций и членов добровольной народной дружины Топкинского муниципального района. </w:t>
      </w:r>
    </w:p>
    <w:p>
      <w:pPr>
        <w:pStyle w:val="NormalWeb1"/>
        <w:ind w:firstLine="567"/>
        <w:jc w:val="both"/>
        <w:rPr>
          <w:sz w:val="28"/>
        </w:rPr>
      </w:pPr>
      <w:r>
        <w:rPr>
          <w:sz w:val="28"/>
        </w:rPr>
        <w:t>Серьезной проблемой для населения является проблема экстремистских проявлений. На территории Топкинского муниципального округа даже небольшие инциденты, связанные с участием национальных групп, могут спровоцировать реальные конфликты на национальной и религиозной почве. В связи с этим большое значение приобретает профилактика потенциальной возможности возникновения этнических проблем, локализация и погашение очагов назревающей напряженности.</w:t>
      </w:r>
    </w:p>
    <w:p>
      <w:pPr>
        <w:pStyle w:val="NormalWeb1"/>
        <w:ind w:firstLine="567"/>
        <w:jc w:val="both"/>
        <w:rPr>
          <w:sz w:val="28"/>
        </w:rPr>
      </w:pPr>
      <w:r>
        <w:rPr>
          <w:sz w:val="28"/>
        </w:rPr>
        <w:t>В сложившихся современных условиях лишь с помощью программно-целевого подхода возможно решение проблемы интолетарных, ксенофобных установок в обществе. Только путем комплексного подхода, объединив усилия правоохранительных органов, органов государственной власти и органов местного самоуправления, средств массовой информации, учреждений образования, культуры, спорта, молодежи, можно добиться повышения уровня антитеррористической и антиэкстремистской защищенности жителей Топкинского муниципального округа, эффективности управления процессами межнациональных отношений.</w:t>
      </w:r>
    </w:p>
    <w:p>
      <w:pPr>
        <w:pStyle w:val="Normal"/>
        <w:ind w:firstLine="360"/>
        <w:jc w:val="center"/>
        <w:rPr>
          <w:b/>
          <w:sz w:val="28"/>
        </w:rPr>
      </w:pPr>
      <w:r>
        <w:rPr>
          <w:b/>
          <w:sz w:val="28"/>
        </w:rPr>
      </w:r>
    </w:p>
    <w:p>
      <w:pPr>
        <w:pStyle w:val="Normal"/>
        <w:ind w:firstLine="540"/>
        <w:jc w:val="center"/>
        <w:rPr>
          <w:b/>
          <w:spacing w:val="-1"/>
          <w:sz w:val="28"/>
        </w:rPr>
      </w:pPr>
      <w:r>
        <w:rPr>
          <w:b/>
          <w:spacing w:val="-1"/>
          <w:sz w:val="28"/>
        </w:rPr>
        <w:t>2. Цель и задачи программы</w:t>
      </w:r>
    </w:p>
    <w:p>
      <w:pPr>
        <w:pStyle w:val="Normal"/>
        <w:ind w:firstLine="567"/>
        <w:jc w:val="both"/>
        <w:rPr>
          <w:sz w:val="28"/>
        </w:rPr>
      </w:pPr>
      <w:r>
        <w:rPr>
          <w:sz w:val="28"/>
        </w:rPr>
        <w:t>Целями Программы являются:</w:t>
      </w:r>
    </w:p>
    <w:p>
      <w:pPr>
        <w:pStyle w:val="Normal"/>
        <w:ind w:firstLine="567"/>
        <w:jc w:val="both"/>
        <w:rPr>
          <w:sz w:val="28"/>
        </w:rPr>
      </w:pPr>
      <w:r>
        <w:rPr>
          <w:sz w:val="28"/>
        </w:rPr>
        <w:t xml:space="preserve"> </w:t>
      </w:r>
      <w:r>
        <w:rPr>
          <w:sz w:val="28"/>
        </w:rPr>
        <w:t xml:space="preserve">- своевременное предупреждение, выявление и пресечение террористической и экстремистской деятельности. </w:t>
      </w:r>
    </w:p>
    <w:p>
      <w:pPr>
        <w:pStyle w:val="Normal"/>
        <w:ind w:firstLine="567"/>
        <w:jc w:val="both"/>
        <w:rPr>
          <w:sz w:val="28"/>
        </w:rPr>
      </w:pPr>
      <w:r>
        <w:rPr>
          <w:sz w:val="28"/>
        </w:rPr>
        <w:t>- совершенствование системы профилактических мер антитеррористической и  антиэкстремистской направленности повышение уровня межведомственного взаимодействия по профилактике терроризма и экстремизма;</w:t>
      </w:r>
    </w:p>
    <w:p>
      <w:pPr>
        <w:pStyle w:val="Normal"/>
        <w:ind w:firstLine="567"/>
        <w:jc w:val="both"/>
        <w:rPr>
          <w:sz w:val="28"/>
        </w:rPr>
      </w:pPr>
      <w:r>
        <w:rPr>
          <w:sz w:val="28"/>
        </w:rPr>
        <w:t>-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и органов местного самоуправления, администрации, правоохранительным органам,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pPr>
        <w:pStyle w:val="Normal"/>
        <w:ind w:firstLine="567"/>
        <w:jc w:val="both"/>
        <w:rPr>
          <w:sz w:val="28"/>
        </w:rPr>
      </w:pPr>
      <w:r>
        <w:rPr>
          <w:sz w:val="28"/>
        </w:rPr>
        <w:t xml:space="preserve">- воспитание культуры толерантности и межнационального согласия; 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pPr>
        <w:pStyle w:val="Normal"/>
        <w:ind w:firstLine="567"/>
        <w:jc w:val="both"/>
        <w:rPr>
          <w:sz w:val="28"/>
        </w:rPr>
      </w:pPr>
      <w:r>
        <w:rPr>
          <w:sz w:val="28"/>
        </w:rPr>
        <w:t xml:space="preserve">В соответствии с обозначенными целями, задачами настоящей Программы являются: </w:t>
      </w:r>
    </w:p>
    <w:p>
      <w:pPr>
        <w:pStyle w:val="Normal"/>
        <w:ind w:firstLine="567"/>
        <w:jc w:val="both"/>
        <w:rPr>
          <w:sz w:val="28"/>
        </w:rPr>
      </w:pPr>
      <w:r>
        <w:rPr>
          <w:sz w:val="28"/>
        </w:rPr>
        <w:t>- повышение уровня межведомственного взаимодействия по профилактике терроризма и экстремизма;</w:t>
      </w:r>
    </w:p>
    <w:p>
      <w:pPr>
        <w:pStyle w:val="Normal"/>
        <w:ind w:firstLine="567"/>
        <w:jc w:val="both"/>
        <w:rPr>
          <w:sz w:val="28"/>
        </w:rPr>
      </w:pPr>
      <w:r>
        <w:rPr>
          <w:sz w:val="28"/>
        </w:rPr>
        <w:t xml:space="preserve">- воспитание культуры толерантности и межнационального согласия;                                                                                                                                  </w:t>
      </w:r>
    </w:p>
    <w:p>
      <w:pPr>
        <w:pStyle w:val="Normal"/>
        <w:ind w:firstLine="567"/>
        <w:jc w:val="both"/>
        <w:rPr>
          <w:sz w:val="28"/>
        </w:rPr>
      </w:pPr>
      <w:r>
        <w:rPr>
          <w:sz w:val="28"/>
        </w:rPr>
        <w:t xml:space="preserve">- усиление антитеррористической защищенности критически важных объектов и мест массового пребывания людей, объектов жизнеобеспечения, которые могут быть избраны террористами в качестве потенциальных целей преступных посягательств;  </w:t>
      </w:r>
    </w:p>
    <w:p>
      <w:pPr>
        <w:pStyle w:val="Normal"/>
        <w:ind w:firstLine="567"/>
        <w:jc w:val="both"/>
        <w:rPr>
          <w:sz w:val="28"/>
        </w:rPr>
      </w:pPr>
      <w:r>
        <w:rPr>
          <w:sz w:val="28"/>
        </w:rPr>
        <w:t xml:space="preserve">- повышение технической укрепленности объектов здравоохранения, образования, культуры и спорта; </w:t>
      </w:r>
    </w:p>
    <w:p>
      <w:pPr>
        <w:pStyle w:val="Normal"/>
        <w:ind w:firstLine="567"/>
        <w:jc w:val="both"/>
        <w:rPr>
          <w:sz w:val="28"/>
        </w:rPr>
      </w:pPr>
      <w:r>
        <w:rPr>
          <w:sz w:val="28"/>
        </w:rPr>
        <w:t>- проведение профилактических мероприятий и мероприятий по информационно-пропагандистскому обеспечению, направленных на предупреждение террористической и экстремистской деятельности;</w:t>
      </w:r>
    </w:p>
    <w:p>
      <w:pPr>
        <w:pStyle w:val="Normal"/>
        <w:ind w:firstLine="567"/>
        <w:jc w:val="both"/>
        <w:rPr>
          <w:sz w:val="28"/>
        </w:rPr>
      </w:pPr>
      <w:r>
        <w:rPr>
          <w:sz w:val="28"/>
        </w:rPr>
        <w:t xml:space="preserve"> </w:t>
      </w:r>
      <w:r>
        <w:rPr>
          <w:sz w:val="28"/>
        </w:rPr>
        <w:t>- проведение антитеррористических учений.</w:t>
      </w:r>
    </w:p>
    <w:p>
      <w:pPr>
        <w:pStyle w:val="Normal"/>
        <w:jc w:val="both"/>
        <w:rPr>
          <w:sz w:val="28"/>
        </w:rPr>
      </w:pPr>
      <w:r>
        <w:rPr>
          <w:sz w:val="28"/>
        </w:rPr>
      </w:r>
    </w:p>
    <w:p>
      <w:pPr>
        <w:pStyle w:val="Normal"/>
        <w:ind w:firstLine="624"/>
        <w:jc w:val="center"/>
        <w:rPr/>
      </w:pPr>
      <w:r>
        <w:rPr>
          <w:b/>
          <w:sz w:val="28"/>
        </w:rPr>
        <w:t>3. Перечень основных мероприятий программы</w:t>
      </w:r>
    </w:p>
    <w:p>
      <w:pPr>
        <w:pStyle w:val="NormalWeb1"/>
        <w:ind w:firstLine="567"/>
        <w:jc w:val="both"/>
        <w:rPr/>
      </w:pPr>
      <w:r>
        <w:rPr>
          <w:sz w:val="28"/>
        </w:rPr>
        <w:t xml:space="preserve">Основные мероприятия Программы направлены на создание условий по снижению риска угрозы совершения террористического акта, повышению антитеррористической защищенности объектов, повышению бдительности граждан при угрозе совершения террористического акта. </w:t>
      </w:r>
    </w:p>
    <w:p>
      <w:pPr>
        <w:pStyle w:val="NormalWeb1"/>
        <w:ind w:firstLine="567"/>
        <w:jc w:val="both"/>
        <w:rPr>
          <w:color w:val="C0504D"/>
          <w:sz w:val="28"/>
        </w:rPr>
      </w:pPr>
      <w:r>
        <w:rPr>
          <w:color w:val="C0504D"/>
          <w:sz w:val="28"/>
        </w:rPr>
      </w:r>
    </w:p>
    <w:p>
      <w:pPr>
        <w:pStyle w:val="Normal"/>
        <w:jc w:val="center"/>
        <w:rPr>
          <w:b/>
          <w:sz w:val="28"/>
        </w:rPr>
      </w:pPr>
      <w:r>
        <w:rPr>
          <w:b/>
          <w:sz w:val="28"/>
        </w:rPr>
        <w:t>4. Финансовое обеспечение реализации Программы</w:t>
      </w:r>
    </w:p>
    <w:p>
      <w:pPr>
        <w:pStyle w:val="Normal"/>
        <w:numPr>
          <w:ilvl w:val="0"/>
          <w:numId w:val="0"/>
        </w:numPr>
        <w:outlineLvl w:val="0"/>
        <w:rPr>
          <w:b/>
          <w:sz w:val="28"/>
        </w:rPr>
      </w:pPr>
      <w:r>
        <w:rPr>
          <w:b/>
          <w:sz w:val="28"/>
        </w:rPr>
      </w:r>
    </w:p>
    <w:tbl>
      <w:tblPr>
        <w:tblW w:w="9211" w:type="dxa"/>
        <w:jc w:val="left"/>
        <w:tblInd w:w="-80" w:type="dxa"/>
        <w:tblLayout w:type="fixed"/>
        <w:tblCellMar>
          <w:top w:w="0" w:type="dxa"/>
          <w:left w:w="75" w:type="dxa"/>
          <w:bottom w:w="0" w:type="dxa"/>
          <w:right w:w="75" w:type="dxa"/>
        </w:tblCellMar>
        <w:tblLook w:val="04a0" w:noHBand="0" w:noVBand="1" w:firstColumn="1" w:lastRow="0" w:lastColumn="0" w:firstRow="1"/>
      </w:tblPr>
      <w:tblGrid>
        <w:gridCol w:w="3419"/>
        <w:gridCol w:w="1149"/>
        <w:gridCol w:w="1008"/>
        <w:gridCol w:w="900"/>
        <w:gridCol w:w="875"/>
        <w:gridCol w:w="888"/>
        <w:gridCol w:w="971"/>
      </w:tblGrid>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Наименование муниципальной программы, подпрограммы, мероприятия</w:t>
            </w:r>
          </w:p>
          <w:p>
            <w:pPr>
              <w:pStyle w:val="Normal"/>
              <w:widowControl w:val="false"/>
              <w:jc w:val="center"/>
              <w:rPr>
                <w:sz w:val="22"/>
                <w:szCs w:val="22"/>
              </w:rPr>
            </w:pPr>
            <w:r>
              <w:rPr>
                <w:sz w:val="22"/>
                <w:szCs w:val="22"/>
              </w:rPr>
            </w:r>
          </w:p>
        </w:tc>
        <w:tc>
          <w:tcPr>
            <w:tcW w:w="114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Источник финансирования</w:t>
            </w:r>
          </w:p>
        </w:tc>
        <w:tc>
          <w:tcPr>
            <w:tcW w:w="4642" w:type="dxa"/>
            <w:gridSpan w:val="5"/>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Объем финансовых ресурсов, тыс. рублей</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2026</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2027</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2028</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2029</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2030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2"/>
                <w:szCs w:val="22"/>
              </w:rPr>
              <w:t>Программа «Противодействие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 на 2026-2030 годы</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3276,0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5276,0</w:t>
            </w:r>
          </w:p>
        </w:tc>
        <w:tc>
          <w:tcPr>
            <w:tcW w:w="875"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3276,0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5276,0</w:t>
            </w:r>
          </w:p>
        </w:tc>
        <w:tc>
          <w:tcPr>
            <w:tcW w:w="875"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Проведение учебных тренировок на объектах ЖКХ, с массовым пребыванием граждан</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Привлечение сотрудников Росгвардии и  частных охранных организаций для обеспечения общественной безопасности в период проведения массовых мероприятий</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Привлечение добровольной народной дружины к оказанию содействия сотрудникам полиции в обеспечении правопорядка в период проведения массовых мероприятий (материальное стимулирование, страхование, мат.обеспечение)</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Приобретение переносных,   ручных металлодетекторов</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Осуществление мониторинга деятельности политических, религиозных и общественных организаций, осуществляющих свою деятельность на территории Топкинского муниципального округа</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Мониторинг СМИ с целью выявления материалов радикального и экстремистского содержания, пропаганду ксенофобии</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Осуществление профилактической работы в молодежной среде, в т.ч. направленное на патриотическое воспитание и повышения уровня толерантного сознания</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Информирование населения о безопасном поведении в условиях угрозы возникновения или возникновения ЧС обусловленной терактом</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Паспортизация объектов, находящихся в муниципальной собственности или введении Топкинского муниципального округа</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Осуществление контроля за выполнением требований к антитеррористической защищенности объектов, находящихся в муниципальной собственности или введении Топкинского муниципального округа (оборудование здание администрации системой пропускного контроля)</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Проведение встреч с представителями национальных диаспор и религиозных конфессий с целью предотвращения конфликтов, выявления причин и условий экстремистских проявлений</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rPr>
              <w:t>Мероприятия по повышению антитеррористической защищенности объектов образования</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Приобретение и установка системы оповещения на объектах образования с выводом на пульт МКУ «ЕДДС ТМО»</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Разработка проекта и установка АПС (ДТДиМ, д./с Ягодка, Орешек )</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Приобретение и установка системы видеонаблюдения на базе МБУ ДО ДТДиМ, МБОУ д/с №11 «Дельфин»</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Обеспечение охраны объектов образования сотрудниками частных охранных предприятий</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Содержание и обслуживание автоматической пожарной сигнализации объектов образования (16 школ)</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Установка и обслуживание кнопки экстренного вызова полиции на объектах образования</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Установка и содержание мобильного телохранителя Росгвардии и системы домофон</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rPr>
              <w:t>Мероприятия по повышению антитеррористической защищенности объектов культуры и спорта</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3276,0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5276,0</w:t>
            </w:r>
          </w:p>
        </w:tc>
        <w:tc>
          <w:tcPr>
            <w:tcW w:w="875"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3276,0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5276,0</w:t>
            </w:r>
          </w:p>
        </w:tc>
        <w:tc>
          <w:tcPr>
            <w:tcW w:w="875"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 w:val="22"/>
                <w:szCs w:val="22"/>
              </w:rPr>
            </w:pPr>
            <w:r>
              <w:rPr>
                <w:sz w:val="22"/>
                <w:szCs w:val="22"/>
              </w:rPr>
              <w:t>Установка и обслуживание системы видеонаблюдения                 на 9 СДК (п. Рассвет,              п. Мокроусовский,                д. М.Корчуган, п.Шишино, п.Центральный, с.Зарубино, с.Усть-Сосново, п.Верх-Падунский)</w:t>
            </w:r>
          </w:p>
          <w:p>
            <w:pPr>
              <w:pStyle w:val="Normal"/>
              <w:widowControl w:val="false"/>
              <w:jc w:val="both"/>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 w:val="22"/>
                <w:szCs w:val="22"/>
              </w:rPr>
            </w:pPr>
            <w:r>
              <w:rPr>
                <w:sz w:val="22"/>
                <w:szCs w:val="22"/>
              </w:rPr>
              <w:t>Обеспечение охраны ДК «Цементник» сотрудниками Росгвардии</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3276,0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5276,0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3276,0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5276,0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Обеспечение антитеррористической защищенности объекта культуры в соответствии в требованиями (МБУДШИ № 5 – физическая охрана, турникет, металлодетектор, содержание системы видеонаблюдения, кнопки экстренного вызова полиции, пожарная</w:t>
            </w:r>
          </w:p>
          <w:p>
            <w:pPr>
              <w:pStyle w:val="Normal"/>
              <w:widowControl w:val="false"/>
              <w:rPr>
                <w:sz w:val="22"/>
                <w:szCs w:val="22"/>
              </w:rPr>
            </w:pPr>
            <w:r>
              <w:rPr>
                <w:sz w:val="22"/>
                <w:szCs w:val="22"/>
              </w:rPr>
              <w:t>сигнализация)</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Обеспечение антитеррористической защищенности объекта культуры в соответствии в требованиями (МБУК ТИМ – физическая охрана, турникет, металлодетектор, содержание системы видеонаблюдения, кнопки экстренного вызова полиции, пожарная сигнализация)</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Установка и монтаж системы видеонаблюдения и наружного аварийного освещения на объекте культуры (МБУ ДО ДШИ №16 с. Зарубино, №40 п. Шишино, ДХШ №17 г.Топки)</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Приобретение и установка видеодомофона на объекте спорта (МАУ ФОК)</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Содержание и обслуживание кнопки экстренного вызова полиции объектов культуры и спорта (МБУ ДО ДШИ №5 г.Топки» МБУ ДО ДШИ №16 с. Зарубино» МБУ ДО «ДШИ №40 п. Шишино, МБУ ДО «ДХШ №17», МБУК «ЦБС ТМО», МБУК «ЦКС ТМО», МАУ «ФОК», МБУ ДО «СШ по ЗВС»)</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rHeight w:val="238" w:hRule="atLeast"/>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Обслуживание системы видеонаблюдения</w:t>
            </w:r>
          </w:p>
          <w:p>
            <w:pPr>
              <w:pStyle w:val="Normal"/>
              <w:rPr>
                <w:sz w:val="22"/>
                <w:szCs w:val="22"/>
              </w:rPr>
            </w:pPr>
            <w:r>
              <w:rPr>
                <w:sz w:val="22"/>
                <w:szCs w:val="22"/>
              </w:rPr>
              <w:t>(МБУ ДО ДШИ №5 г.Топки, МБУК «ЦКС»)</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rHeight w:val="220" w:hRule="atLeast"/>
        </w:trPr>
        <w:tc>
          <w:tcPr>
            <w:tcW w:w="34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Содержание и обслуживание автоматической пожарной сигнализации объектов культуры и спорта (МБУ ДО ДШИ №5 г.Топки» МБУ ДО ДШИ №16 с. Зарубино» МБУ ДО «ДШИ №40 п. Шишино, МБУ ДО «ДХШ №17», МБУК «ЦБС ТМО», МБУК «ЦКС ТМО», МАУ «ФОК», МБУ ДО «СШ по ЗВС»)</w:t>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Всего</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r>
        <w:trPr/>
        <w:tc>
          <w:tcPr>
            <w:tcW w:w="3419" w:type="dxa"/>
            <w:vMerge w:val="continue"/>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1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местный бюджет</w:t>
            </w:r>
          </w:p>
        </w:tc>
        <w:tc>
          <w:tcPr>
            <w:tcW w:w="1008"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875"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c>
          <w:tcPr>
            <w:tcW w:w="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0,0</w:t>
            </w:r>
          </w:p>
        </w:tc>
        <w:tc>
          <w:tcPr>
            <w:tcW w:w="971" w:type="dxa"/>
            <w:tcBorders>
              <w:top w:val="single" w:sz="4" w:space="0" w:color="000000"/>
              <w:left w:val="single" w:sz="4" w:space="0" w:color="000000"/>
              <w:bottom w:val="single" w:sz="4" w:space="0" w:color="000000"/>
            </w:tcBorders>
          </w:tcPr>
          <w:p>
            <w:pPr>
              <w:pStyle w:val="Normal"/>
              <w:widowControl w:val="false"/>
              <w:jc w:val="center"/>
              <w:rPr>
                <w:sz w:val="22"/>
                <w:szCs w:val="22"/>
              </w:rPr>
            </w:pPr>
            <w:r>
              <w:rPr>
                <w:sz w:val="22"/>
                <w:szCs w:val="22"/>
              </w:rPr>
              <w:t>0,0</w:t>
            </w:r>
          </w:p>
        </w:tc>
      </w:tr>
    </w:tbl>
    <w:p>
      <w:pPr>
        <w:pStyle w:val="Normal"/>
        <w:jc w:val="both"/>
        <w:rPr/>
      </w:pPr>
      <w:r>
        <w:rPr/>
      </w:r>
    </w:p>
    <w:p>
      <w:pPr>
        <w:pStyle w:val="Normal"/>
        <w:jc w:val="both"/>
        <w:rPr/>
      </w:pPr>
      <w:r>
        <w:rPr/>
      </w:r>
    </w:p>
    <w:p>
      <w:pPr>
        <w:pStyle w:val="Normal"/>
        <w:widowControl w:val="false"/>
        <w:jc w:val="center"/>
        <w:rPr>
          <w:b/>
          <w:sz w:val="28"/>
        </w:rPr>
      </w:pPr>
      <w:r>
        <w:rPr>
          <w:b/>
          <w:sz w:val="28"/>
        </w:rPr>
        <w:t xml:space="preserve">5. Сведения целевых показателей (индикаторов) Программы </w:t>
      </w:r>
    </w:p>
    <w:p>
      <w:pPr>
        <w:pStyle w:val="Normal"/>
        <w:widowControl w:val="false"/>
        <w:jc w:val="center"/>
        <w:rPr>
          <w:b/>
          <w:sz w:val="28"/>
        </w:rPr>
      </w:pPr>
      <w:r>
        <w:rPr>
          <w:b/>
          <w:sz w:val="28"/>
        </w:rPr>
      </w:r>
    </w:p>
    <w:tbl>
      <w:tblPr>
        <w:tblStyle w:val="af1"/>
        <w:tblW w:w="9204"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2148"/>
        <w:gridCol w:w="1928"/>
        <w:gridCol w:w="1049"/>
        <w:gridCol w:w="1264"/>
        <w:gridCol w:w="562"/>
        <w:gridCol w:w="564"/>
        <w:gridCol w:w="563"/>
        <w:gridCol w:w="562"/>
        <w:gridCol w:w="563"/>
      </w:tblGrid>
      <w:tr>
        <w:trPr/>
        <w:tc>
          <w:tcPr>
            <w:tcW w:w="2148" w:type="dxa"/>
            <w:vMerge w:val="restart"/>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Наименование муниципальной программы, подпрограммы, мероприятия</w:t>
            </w:r>
          </w:p>
        </w:tc>
        <w:tc>
          <w:tcPr>
            <w:tcW w:w="1928" w:type="dxa"/>
            <w:vMerge w:val="restart"/>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Наименование целевого показателя (индикатора)</w:t>
            </w:r>
          </w:p>
        </w:tc>
        <w:tc>
          <w:tcPr>
            <w:tcW w:w="1049" w:type="dxa"/>
            <w:vMerge w:val="restart"/>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Единица измерения</w:t>
            </w:r>
          </w:p>
        </w:tc>
        <w:tc>
          <w:tcPr>
            <w:tcW w:w="1264" w:type="dxa"/>
            <w:vMerge w:val="restart"/>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Базовое значение целевого показателя (индикатора)</w:t>
            </w:r>
          </w:p>
        </w:tc>
        <w:tc>
          <w:tcPr>
            <w:tcW w:w="2814" w:type="dxa"/>
            <w:gridSpan w:val="5"/>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Плановое значение целевого показателя (индикатора)</w:t>
            </w:r>
          </w:p>
        </w:tc>
      </w:tr>
      <w:tr>
        <w:trPr/>
        <w:tc>
          <w:tcPr>
            <w:tcW w:w="2148" w:type="dxa"/>
            <w:vMerge w:val="continue"/>
            <w:tcBorders/>
          </w:tcPr>
          <w:p>
            <w:pPr>
              <w:pStyle w:val="Normal"/>
              <w:widowControl/>
              <w:suppressAutoHyphens w:val="true"/>
              <w:spacing w:before="0" w:after="0"/>
              <w:jc w:val="left"/>
              <w:rPr>
                <w:sz w:val="22"/>
                <w:szCs w:val="22"/>
              </w:rPr>
            </w:pPr>
            <w:r>
              <w:rPr>
                <w:rFonts w:eastAsia="Tahoma" w:cs="Noto Sans Devanagari"/>
                <w:color w:val="000000"/>
                <w:kern w:val="0"/>
                <w:sz w:val="22"/>
                <w:szCs w:val="22"/>
                <w:lang w:val="ru-RU" w:eastAsia="zh-CN" w:bidi="hi-IN"/>
              </w:rPr>
            </w:r>
          </w:p>
        </w:tc>
        <w:tc>
          <w:tcPr>
            <w:tcW w:w="1928" w:type="dxa"/>
            <w:vMerge w:val="continue"/>
            <w:tcBorders/>
          </w:tcPr>
          <w:p>
            <w:pPr>
              <w:pStyle w:val="Normal"/>
              <w:widowControl/>
              <w:suppressAutoHyphens w:val="true"/>
              <w:spacing w:before="0" w:after="0"/>
              <w:jc w:val="left"/>
              <w:rPr>
                <w:sz w:val="22"/>
                <w:szCs w:val="22"/>
              </w:rPr>
            </w:pPr>
            <w:r>
              <w:rPr>
                <w:rFonts w:eastAsia="Tahoma" w:cs="Noto Sans Devanagari"/>
                <w:color w:val="000000"/>
                <w:kern w:val="0"/>
                <w:sz w:val="22"/>
                <w:szCs w:val="22"/>
                <w:lang w:val="ru-RU" w:eastAsia="zh-CN" w:bidi="hi-IN"/>
              </w:rPr>
            </w:r>
          </w:p>
        </w:tc>
        <w:tc>
          <w:tcPr>
            <w:tcW w:w="1049" w:type="dxa"/>
            <w:vMerge w:val="continue"/>
            <w:tcBorders/>
          </w:tcPr>
          <w:p>
            <w:pPr>
              <w:pStyle w:val="Normal"/>
              <w:widowControl/>
              <w:suppressAutoHyphens w:val="true"/>
              <w:spacing w:before="0" w:after="0"/>
              <w:jc w:val="left"/>
              <w:rPr>
                <w:sz w:val="22"/>
                <w:szCs w:val="22"/>
              </w:rPr>
            </w:pPr>
            <w:r>
              <w:rPr>
                <w:rFonts w:eastAsia="Tahoma" w:cs="Noto Sans Devanagari"/>
                <w:color w:val="000000"/>
                <w:kern w:val="0"/>
                <w:sz w:val="22"/>
                <w:szCs w:val="22"/>
                <w:lang w:val="ru-RU" w:eastAsia="zh-CN" w:bidi="hi-IN"/>
              </w:rPr>
            </w:r>
          </w:p>
        </w:tc>
        <w:tc>
          <w:tcPr>
            <w:tcW w:w="1264" w:type="dxa"/>
            <w:vMerge w:val="continue"/>
            <w:tcBorders/>
          </w:tcPr>
          <w:p>
            <w:pPr>
              <w:pStyle w:val="Normal"/>
              <w:widowControl/>
              <w:suppressAutoHyphens w:val="true"/>
              <w:spacing w:before="0" w:after="0"/>
              <w:jc w:val="left"/>
              <w:rPr>
                <w:sz w:val="22"/>
                <w:szCs w:val="22"/>
              </w:rPr>
            </w:pPr>
            <w:r>
              <w:rPr>
                <w:rFonts w:eastAsia="Tahoma" w:cs="Noto Sans Devanagari"/>
                <w:color w:val="000000"/>
                <w:kern w:val="0"/>
                <w:sz w:val="22"/>
                <w:szCs w:val="22"/>
                <w:lang w:val="ru-RU" w:eastAsia="zh-CN" w:bidi="hi-IN"/>
              </w:rPr>
            </w:r>
          </w:p>
        </w:tc>
        <w:tc>
          <w:tcPr>
            <w:tcW w:w="562"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2026</w:t>
            </w:r>
          </w:p>
        </w:tc>
        <w:tc>
          <w:tcPr>
            <w:tcW w:w="564"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2027</w:t>
            </w:r>
          </w:p>
        </w:tc>
        <w:tc>
          <w:tcPr>
            <w:tcW w:w="563"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2028</w:t>
            </w:r>
          </w:p>
        </w:tc>
        <w:tc>
          <w:tcPr>
            <w:tcW w:w="562"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2029</w:t>
            </w:r>
          </w:p>
        </w:tc>
        <w:tc>
          <w:tcPr>
            <w:tcW w:w="563"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2030</w:t>
            </w:r>
          </w:p>
        </w:tc>
      </w:tr>
      <w:tr>
        <w:trPr/>
        <w:tc>
          <w:tcPr>
            <w:tcW w:w="2148" w:type="dxa"/>
            <w:vMerge w:val="restart"/>
            <w:tcBorders/>
          </w:tcPr>
          <w:p>
            <w:pPr>
              <w:pStyle w:val="NormalWeb1"/>
              <w:widowControl/>
              <w:suppressAutoHyphens w:val="true"/>
              <w:spacing w:before="0" w:after="0"/>
              <w:jc w:val="center"/>
              <w:rPr>
                <w:sz w:val="22"/>
                <w:szCs w:val="22"/>
              </w:rPr>
            </w:pPr>
            <w:r>
              <w:rPr>
                <w:rFonts w:eastAsia="Tahoma" w:cs="Noto Sans Devanagari"/>
                <w:color w:val="000000"/>
                <w:kern w:val="0"/>
                <w:sz w:val="22"/>
                <w:szCs w:val="22"/>
                <w:lang w:val="ru-RU" w:eastAsia="zh-CN" w:bidi="hi-IN"/>
              </w:rPr>
              <w:t>«Противодействие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w:t>
            </w:r>
          </w:p>
          <w:p>
            <w:pPr>
              <w:pStyle w:val="NormalWeb1"/>
              <w:widowControl/>
              <w:suppressAutoHyphens w:val="true"/>
              <w:spacing w:before="0" w:after="0"/>
              <w:jc w:val="center"/>
              <w:rPr>
                <w:sz w:val="22"/>
                <w:szCs w:val="22"/>
              </w:rPr>
            </w:pPr>
            <w:r>
              <w:rPr>
                <w:rFonts w:eastAsia="Tahoma" w:cs="Noto Sans Devanagari"/>
                <w:color w:val="000000"/>
                <w:kern w:val="0"/>
                <w:sz w:val="22"/>
                <w:szCs w:val="22"/>
                <w:lang w:val="ru-RU" w:eastAsia="zh-CN" w:bidi="hi-IN"/>
              </w:rPr>
              <w:t>на 2026-2030 годы</w:t>
            </w:r>
          </w:p>
        </w:tc>
        <w:tc>
          <w:tcPr>
            <w:tcW w:w="1928"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Учения и тренировки</w:t>
            </w:r>
          </w:p>
        </w:tc>
        <w:tc>
          <w:tcPr>
            <w:tcW w:w="1049"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Кол-во</w:t>
            </w:r>
          </w:p>
        </w:tc>
        <w:tc>
          <w:tcPr>
            <w:tcW w:w="1264" w:type="dxa"/>
            <w:tcBorders/>
            <w:vAlign w:val="center"/>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5</w:t>
            </w:r>
          </w:p>
        </w:tc>
        <w:tc>
          <w:tcPr>
            <w:tcW w:w="562" w:type="dxa"/>
            <w:tcBorders/>
            <w:vAlign w:val="center"/>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5</w:t>
            </w:r>
          </w:p>
        </w:tc>
        <w:tc>
          <w:tcPr>
            <w:tcW w:w="564" w:type="dxa"/>
            <w:tcBorders/>
            <w:vAlign w:val="center"/>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5</w:t>
            </w:r>
          </w:p>
        </w:tc>
        <w:tc>
          <w:tcPr>
            <w:tcW w:w="563" w:type="dxa"/>
            <w:tcBorders/>
            <w:vAlign w:val="center"/>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5</w:t>
            </w:r>
          </w:p>
        </w:tc>
        <w:tc>
          <w:tcPr>
            <w:tcW w:w="562" w:type="dxa"/>
            <w:tcBorders/>
            <w:vAlign w:val="center"/>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5</w:t>
            </w:r>
          </w:p>
        </w:tc>
        <w:tc>
          <w:tcPr>
            <w:tcW w:w="563" w:type="dxa"/>
            <w:tcBorders/>
            <w:vAlign w:val="center"/>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5</w:t>
            </w:r>
          </w:p>
        </w:tc>
      </w:tr>
      <w:tr>
        <w:trPr/>
        <w:tc>
          <w:tcPr>
            <w:tcW w:w="2148" w:type="dxa"/>
            <w:vMerge w:val="continue"/>
            <w:tcBorders/>
          </w:tcPr>
          <w:p>
            <w:pPr>
              <w:pStyle w:val="Normal"/>
              <w:widowControl/>
              <w:suppressAutoHyphens w:val="true"/>
              <w:spacing w:before="0" w:after="0"/>
              <w:jc w:val="left"/>
              <w:rPr>
                <w:sz w:val="22"/>
                <w:szCs w:val="22"/>
              </w:rPr>
            </w:pPr>
            <w:r>
              <w:rPr>
                <w:rFonts w:eastAsia="Tahoma" w:cs="Noto Sans Devanagari"/>
                <w:color w:val="000000"/>
                <w:kern w:val="0"/>
                <w:sz w:val="22"/>
                <w:szCs w:val="22"/>
                <w:lang w:val="ru-RU" w:eastAsia="zh-CN" w:bidi="hi-IN"/>
              </w:rPr>
            </w:r>
          </w:p>
        </w:tc>
        <w:tc>
          <w:tcPr>
            <w:tcW w:w="1928"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Антитеррористическая защищенность объектов культуры</w:t>
            </w:r>
          </w:p>
        </w:tc>
        <w:tc>
          <w:tcPr>
            <w:tcW w:w="1049"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Кол-во</w:t>
            </w:r>
          </w:p>
        </w:tc>
        <w:tc>
          <w:tcPr>
            <w:tcW w:w="1264"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1</w:t>
            </w:r>
          </w:p>
        </w:tc>
        <w:tc>
          <w:tcPr>
            <w:tcW w:w="562"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1</w:t>
            </w:r>
          </w:p>
        </w:tc>
        <w:tc>
          <w:tcPr>
            <w:tcW w:w="564"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1</w:t>
            </w:r>
          </w:p>
        </w:tc>
        <w:tc>
          <w:tcPr>
            <w:tcW w:w="563"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1</w:t>
            </w:r>
          </w:p>
        </w:tc>
        <w:tc>
          <w:tcPr>
            <w:tcW w:w="562"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1</w:t>
            </w:r>
          </w:p>
        </w:tc>
        <w:tc>
          <w:tcPr>
            <w:tcW w:w="563"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1</w:t>
            </w:r>
          </w:p>
        </w:tc>
      </w:tr>
    </w:tbl>
    <w:p>
      <w:pPr>
        <w:pStyle w:val="Normal"/>
        <w:jc w:val="both"/>
        <w:rPr/>
      </w:pPr>
      <w:r>
        <w:rPr/>
      </w:r>
    </w:p>
    <w:p>
      <w:pPr>
        <w:pStyle w:val="Normal"/>
        <w:jc w:val="both"/>
        <w:rPr/>
      </w:pPr>
      <w:r>
        <w:rPr/>
      </w:r>
    </w:p>
    <w:p>
      <w:pPr>
        <w:pStyle w:val="Normal"/>
        <w:widowControl w:val="false"/>
        <w:jc w:val="center"/>
        <w:rPr/>
      </w:pPr>
      <w:r>
        <w:rPr>
          <w:b/>
          <w:sz w:val="28"/>
        </w:rPr>
        <w:t xml:space="preserve">6. Методика расчёта и источник информации о значениях целевых показателей программы, показателей структурных элементов </w:t>
      </w:r>
    </w:p>
    <w:p>
      <w:pPr>
        <w:pStyle w:val="Normal"/>
        <w:widowControl w:val="false"/>
        <w:jc w:val="center"/>
        <w:rPr>
          <w:sz w:val="28"/>
        </w:rPr>
      </w:pPr>
      <w:r>
        <w:rPr>
          <w:sz w:val="28"/>
        </w:rPr>
      </w:r>
    </w:p>
    <w:p>
      <w:pPr>
        <w:pStyle w:val="Normal"/>
        <w:widowControl w:val="false"/>
        <w:jc w:val="center"/>
        <w:rPr>
          <w:b/>
          <w:sz w:val="28"/>
        </w:rPr>
      </w:pPr>
      <w:r>
        <w:rPr>
          <w:b/>
          <w:sz w:val="28"/>
        </w:rPr>
        <w:t>Муниципальная программа «Противодействие экстремизму, профилактика терроризма, поддержание межнационального и межконфессионального согласия  на территории Топкинского муниципального округа»</w:t>
      </w:r>
    </w:p>
    <w:p>
      <w:pPr>
        <w:pStyle w:val="NormalWeb1"/>
        <w:jc w:val="center"/>
        <w:rPr>
          <w:b/>
          <w:sz w:val="28"/>
        </w:rPr>
      </w:pPr>
      <w:r>
        <w:rPr>
          <w:b/>
          <w:sz w:val="28"/>
        </w:rPr>
        <w:t>на 2026-2030 годы</w:t>
      </w:r>
    </w:p>
    <w:p>
      <w:pPr>
        <w:pStyle w:val="Normal"/>
        <w:widowControl w:val="false"/>
        <w:jc w:val="center"/>
        <w:rPr>
          <w:sz w:val="28"/>
        </w:rPr>
      </w:pPr>
      <w:r>
        <w:rPr>
          <w:sz w:val="28"/>
        </w:rPr>
      </w:r>
    </w:p>
    <w:tbl>
      <w:tblPr>
        <w:tblStyle w:val="af1"/>
        <w:tblW w:w="906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616"/>
        <w:gridCol w:w="3141"/>
        <w:gridCol w:w="2488"/>
        <w:gridCol w:w="2814"/>
      </w:tblGrid>
      <w:tr>
        <w:trPr/>
        <w:tc>
          <w:tcPr>
            <w:tcW w:w="616"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 xml:space="preserve">№ </w:t>
            </w:r>
            <w:r>
              <w:rPr>
                <w:rFonts w:eastAsia="Tahoma" w:cs="Noto Sans Devanagari"/>
                <w:b/>
                <w:color w:val="000000"/>
                <w:kern w:val="0"/>
                <w:sz w:val="22"/>
                <w:szCs w:val="22"/>
                <w:lang w:val="ru-RU" w:eastAsia="zh-CN" w:bidi="hi-IN"/>
              </w:rPr>
              <w:t>п/п</w:t>
            </w:r>
          </w:p>
        </w:tc>
        <w:tc>
          <w:tcPr>
            <w:tcW w:w="3141"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Наименование показателя, ед. измерения</w:t>
            </w:r>
          </w:p>
        </w:tc>
        <w:tc>
          <w:tcPr>
            <w:tcW w:w="2488"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Расчет целевого показателя</w:t>
            </w:r>
          </w:p>
        </w:tc>
        <w:tc>
          <w:tcPr>
            <w:tcW w:w="2814" w:type="dxa"/>
            <w:tcBorders/>
          </w:tcPr>
          <w:p>
            <w:pPr>
              <w:pStyle w:val="Normal"/>
              <w:widowControl w:val="false"/>
              <w:suppressAutoHyphens w:val="true"/>
              <w:spacing w:before="0" w:after="0"/>
              <w:jc w:val="center"/>
              <w:rPr>
                <w:sz w:val="22"/>
                <w:szCs w:val="22"/>
              </w:rPr>
            </w:pPr>
            <w:r>
              <w:rPr>
                <w:rFonts w:eastAsia="Tahoma" w:cs="Noto Sans Devanagari"/>
                <w:b/>
                <w:color w:val="000000"/>
                <w:kern w:val="0"/>
                <w:sz w:val="22"/>
                <w:szCs w:val="22"/>
                <w:lang w:val="ru-RU" w:eastAsia="zh-CN" w:bidi="hi-IN"/>
              </w:rPr>
              <w:t>Источник получения информации о целевых показателях</w:t>
            </w:r>
          </w:p>
        </w:tc>
      </w:tr>
      <w:tr>
        <w:trPr/>
        <w:tc>
          <w:tcPr>
            <w:tcW w:w="616"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1</w:t>
            </w:r>
          </w:p>
        </w:tc>
        <w:tc>
          <w:tcPr>
            <w:tcW w:w="3141"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Учения и тренировки</w:t>
            </w:r>
          </w:p>
        </w:tc>
        <w:tc>
          <w:tcPr>
            <w:tcW w:w="2488" w:type="dxa"/>
            <w:tcBorders/>
          </w:tcPr>
          <w:p>
            <w:pPr>
              <w:pStyle w:val="Normal"/>
              <w:widowControl w:val="false"/>
              <w:suppressAutoHyphens w:val="true"/>
              <w:spacing w:before="0" w:after="0"/>
              <w:jc w:val="both"/>
              <w:rPr>
                <w:sz w:val="22"/>
                <w:szCs w:val="22"/>
              </w:rPr>
            </w:pPr>
            <w:r>
              <w:rPr>
                <w:rFonts w:eastAsia="Tahoma" w:cs="Noto Sans Devanagari"/>
                <w:color w:val="000000"/>
                <w:kern w:val="0"/>
                <w:sz w:val="22"/>
                <w:szCs w:val="22"/>
                <w:lang w:val="ru-RU" w:eastAsia="zh-CN" w:bidi="hi-IN"/>
              </w:rPr>
              <w:t>Факт/План*100%</w:t>
            </w:r>
          </w:p>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r>
          </w:p>
        </w:tc>
        <w:tc>
          <w:tcPr>
            <w:tcW w:w="2814"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Отдел ГО, предупреждения и ликвидации ЧС администрации Топкинского муниципального округа</w:t>
            </w:r>
          </w:p>
        </w:tc>
      </w:tr>
      <w:tr>
        <w:trPr/>
        <w:tc>
          <w:tcPr>
            <w:tcW w:w="616"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2</w:t>
            </w:r>
          </w:p>
        </w:tc>
        <w:tc>
          <w:tcPr>
            <w:tcW w:w="3141"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Антитеррористическая защищенность объектов культуры</w:t>
            </w:r>
          </w:p>
        </w:tc>
        <w:tc>
          <w:tcPr>
            <w:tcW w:w="2488" w:type="dxa"/>
            <w:tcBorders/>
          </w:tcPr>
          <w:p>
            <w:pPr>
              <w:pStyle w:val="Normal"/>
              <w:widowControl w:val="false"/>
              <w:suppressAutoHyphens w:val="true"/>
              <w:spacing w:before="0" w:after="0"/>
              <w:jc w:val="both"/>
              <w:rPr>
                <w:sz w:val="22"/>
                <w:szCs w:val="22"/>
              </w:rPr>
            </w:pPr>
            <w:r>
              <w:rPr>
                <w:rFonts w:eastAsia="Tahoma" w:cs="Noto Sans Devanagari"/>
                <w:color w:val="000000"/>
                <w:kern w:val="0"/>
                <w:sz w:val="22"/>
                <w:szCs w:val="22"/>
                <w:lang w:val="ru-RU" w:eastAsia="zh-CN" w:bidi="hi-IN"/>
              </w:rPr>
              <w:t>Факт/План*100%</w:t>
            </w:r>
          </w:p>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r>
          </w:p>
        </w:tc>
        <w:tc>
          <w:tcPr>
            <w:tcW w:w="2814"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Отдел ГО, предупреждения и ликвидации ЧС администрации Топкинского муниципального округа, управление культуры, спорта и молодежной политики администрации Топкинского муниципального округа</w:t>
            </w:r>
          </w:p>
        </w:tc>
      </w:tr>
      <w:tr>
        <w:trPr/>
        <w:tc>
          <w:tcPr>
            <w:tcW w:w="616"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3</w:t>
            </w:r>
          </w:p>
        </w:tc>
        <w:tc>
          <w:tcPr>
            <w:tcW w:w="3141"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Антитеррористическая защищенность объектов образования</w:t>
            </w:r>
          </w:p>
        </w:tc>
        <w:tc>
          <w:tcPr>
            <w:tcW w:w="2488" w:type="dxa"/>
            <w:tcBorders/>
          </w:tcPr>
          <w:p>
            <w:pPr>
              <w:pStyle w:val="Normal"/>
              <w:widowControl w:val="false"/>
              <w:suppressAutoHyphens w:val="true"/>
              <w:spacing w:before="0" w:after="0"/>
              <w:jc w:val="both"/>
              <w:rPr>
                <w:sz w:val="22"/>
                <w:szCs w:val="22"/>
              </w:rPr>
            </w:pPr>
            <w:r>
              <w:rPr>
                <w:rFonts w:eastAsia="Tahoma" w:cs="Noto Sans Devanagari"/>
                <w:color w:val="000000"/>
                <w:kern w:val="0"/>
                <w:sz w:val="22"/>
                <w:szCs w:val="22"/>
                <w:lang w:val="ru-RU" w:eastAsia="zh-CN" w:bidi="hi-IN"/>
              </w:rPr>
              <w:t>Факт/План*100%</w:t>
            </w:r>
          </w:p>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r>
          </w:p>
        </w:tc>
        <w:tc>
          <w:tcPr>
            <w:tcW w:w="2814" w:type="dxa"/>
            <w:tcBorders/>
          </w:tcPr>
          <w:p>
            <w:pPr>
              <w:pStyle w:val="Normal"/>
              <w:widowControl w:val="false"/>
              <w:suppressAutoHyphens w:val="true"/>
              <w:spacing w:before="0" w:after="0"/>
              <w:jc w:val="center"/>
              <w:rPr>
                <w:sz w:val="22"/>
                <w:szCs w:val="22"/>
              </w:rPr>
            </w:pPr>
            <w:r>
              <w:rPr>
                <w:rFonts w:eastAsia="Tahoma" w:cs="Noto Sans Devanagari"/>
                <w:color w:val="000000"/>
                <w:kern w:val="0"/>
                <w:sz w:val="22"/>
                <w:szCs w:val="22"/>
                <w:lang w:val="ru-RU" w:eastAsia="zh-CN" w:bidi="hi-IN"/>
              </w:rPr>
              <w:t>Отдел ГО, предупреждения и ликвидации ЧС администрации Топкинского муниципального округа, управление образования администрации Топкинского муниципального округа</w:t>
            </w:r>
          </w:p>
        </w:tc>
      </w:tr>
    </w:tbl>
    <w:p>
      <w:pPr>
        <w:pStyle w:val="Normal"/>
        <w:jc w:val="both"/>
        <w:rPr>
          <w:rFonts w:ascii="Times New Roman" w:hAnsi="Times New Roman"/>
          <w:sz w:val="28"/>
        </w:rPr>
      </w:pPr>
      <w:r>
        <w:rPr/>
      </w:r>
    </w:p>
    <w:sectPr>
      <w:type w:val="nextPage"/>
      <w:pgSz w:w="11906" w:h="16838"/>
      <w:pgMar w:left="1559" w:right="1134" w:gutter="0" w:header="0" w:top="1134" w:footer="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XO Thames">
    <w:charset w:val="01"/>
    <w:family w:val="roman"/>
    <w:pitch w:val="default"/>
  </w:font>
  <w:font w:name="Verdana">
    <w:charset w:val="01"/>
    <w:family w:val="swiss"/>
    <w:pitch w:val="default"/>
  </w:font>
  <w:font w:name="Arial">
    <w:charset w:val="01"/>
    <w:family w:val="swiss"/>
    <w:pitch w:val="default"/>
  </w:font>
  <w:font w:name="Courier New">
    <w:charset w:val="01"/>
    <w:family w:val="auto"/>
    <w:pitch w:val="default"/>
  </w:font>
  <w:font w:name="PT Astra Serif">
    <w:charset w:val="01"/>
    <w:family w:val="roman"/>
    <w:pitch w:val="default"/>
  </w:font>
  <w:font w:name="Tahoma">
    <w:charset w:val="01"/>
    <w:family w:val="swiss"/>
    <w:pitch w:val="default"/>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Heading1">
    <w:name w:val="heading 1"/>
    <w:basedOn w:val="Normal"/>
    <w:next w:val="Normal"/>
    <w:link w:val="111"/>
    <w:uiPriority w:val="9"/>
    <w:qFormat/>
    <w:pPr>
      <w:keepNext w:val="true"/>
      <w:jc w:val="center"/>
      <w:outlineLvl w:val="0"/>
    </w:pPr>
    <w:rPr>
      <w:b/>
      <w:sz w:val="36"/>
    </w:rPr>
  </w:style>
  <w:style w:type="paragraph" w:styleId="Heading2">
    <w:name w:val="heading 2"/>
    <w:basedOn w:val="Normal"/>
    <w:next w:val="Normal"/>
    <w:link w:val="211"/>
    <w:uiPriority w:val="9"/>
    <w:qFormat/>
    <w:pPr>
      <w:keepNext w:val="true"/>
      <w:jc w:val="center"/>
      <w:outlineLvl w:val="1"/>
    </w:pPr>
    <w:rPr>
      <w:sz w:val="28"/>
    </w:rPr>
  </w:style>
  <w:style w:type="paragraph" w:styleId="Heading3">
    <w:name w:val="heading 3"/>
    <w:basedOn w:val="Normal"/>
    <w:next w:val="Normal"/>
    <w:link w:val="31"/>
    <w:uiPriority w:val="9"/>
    <w:qFormat/>
    <w:pPr>
      <w:keepNext w:val="true"/>
      <w:jc w:val="right"/>
      <w:outlineLvl w:val="2"/>
    </w:pPr>
    <w:rPr>
      <w:sz w:val="28"/>
    </w:rPr>
  </w:style>
  <w:style w:type="paragraph" w:styleId="Heading4">
    <w:name w:val="heading 4"/>
    <w:basedOn w:val="Normal"/>
    <w:next w:val="Normal"/>
    <w:link w:val="411"/>
    <w:uiPriority w:val="9"/>
    <w:qFormat/>
    <w:pPr>
      <w:keepNext w:val="true"/>
      <w:outlineLvl w:val="3"/>
    </w:pPr>
    <w:rPr>
      <w:sz w:val="28"/>
    </w:rPr>
  </w:style>
  <w:style w:type="paragraph" w:styleId="Heading5">
    <w:name w:val="heading 5"/>
    <w:basedOn w:val="Normal"/>
    <w:next w:val="Normal"/>
    <w:link w:val="51"/>
    <w:uiPriority w:val="9"/>
    <w:qFormat/>
    <w:pPr>
      <w:keepNext w:val="true"/>
      <w:jc w:val="right"/>
      <w:outlineLvl w:val="4"/>
    </w:pPr>
    <w:rPr>
      <w:sz w:val="26"/>
    </w:rPr>
  </w:style>
  <w:style w:type="paragraph" w:styleId="Heading6">
    <w:name w:val="heading 6"/>
    <w:basedOn w:val="Normal"/>
    <w:next w:val="Normal"/>
    <w:link w:val="611"/>
    <w:uiPriority w:val="9"/>
    <w:qFormat/>
    <w:pPr>
      <w:keepNext w:val="true"/>
      <w:jc w:val="center"/>
      <w:outlineLvl w:val="5"/>
    </w:pPr>
    <w:rPr>
      <w:sz w:val="26"/>
    </w:rPr>
  </w:style>
  <w:style w:type="paragraph" w:styleId="Heading7">
    <w:name w:val="heading 7"/>
    <w:basedOn w:val="Normal"/>
    <w:next w:val="Normal"/>
    <w:link w:val="71"/>
    <w:uiPriority w:val="9"/>
    <w:qFormat/>
    <w:pPr>
      <w:keepNext w:val="true"/>
      <w:jc w:val="both"/>
      <w:outlineLvl w:val="6"/>
    </w:pPr>
    <w:rPr>
      <w:sz w:val="28"/>
    </w:rPr>
  </w:style>
  <w:style w:type="paragraph" w:styleId="Heading8">
    <w:name w:val="heading 8"/>
    <w:basedOn w:val="Normal"/>
    <w:next w:val="Normal"/>
    <w:link w:val="81"/>
    <w:uiPriority w:val="9"/>
    <w:qFormat/>
    <w:pPr>
      <w:keepNext w:val="true"/>
      <w:outlineLvl w:val="7"/>
    </w:pPr>
    <w:rPr>
      <w:sz w:val="24"/>
    </w:rPr>
  </w:style>
  <w:style w:type="character" w:styleId="DefaultParagraphFont" w:default="1">
    <w:name w:val="Default Paragraph Font"/>
    <w:uiPriority w:val="1"/>
    <w:semiHidden/>
    <w:unhideWhenUsed/>
    <w:qFormat/>
    <w:rPr/>
  </w:style>
  <w:style w:type="character" w:styleId="1" w:customStyle="1">
    <w:name w:val="Обычный1"/>
    <w:link w:val="118"/>
    <w:qFormat/>
    <w:rPr/>
  </w:style>
  <w:style w:type="character" w:styleId="11" w:customStyle="1">
    <w:name w:val="Верхний колонтитул Знак1"/>
    <w:basedOn w:val="1"/>
    <w:qFormat/>
    <w:rPr>
      <w:rFonts w:ascii="Times New Roman" w:hAnsi="Times New Roman"/>
      <w:color w:val="000000"/>
      <w:sz w:val="20"/>
    </w:rPr>
  </w:style>
  <w:style w:type="character" w:styleId="21" w:customStyle="1">
    <w:name w:val="Оглавление 2 Знак1"/>
    <w:qFormat/>
    <w:rPr>
      <w:rFonts w:ascii="XO Thames" w:hAnsi="XO Thames"/>
      <w:color w:val="000000"/>
      <w:sz w:val="28"/>
    </w:rPr>
  </w:style>
  <w:style w:type="character" w:styleId="12" w:customStyle="1">
    <w:name w:val="Гиперссылка1"/>
    <w:link w:val="116"/>
    <w:qFormat/>
    <w:rPr>
      <w:rFonts w:ascii="Times New Roman" w:hAnsi="Times New Roman"/>
      <w:color w:val="0000FF"/>
      <w:sz w:val="20"/>
      <w:u w:val="single"/>
    </w:rPr>
  </w:style>
  <w:style w:type="character" w:styleId="5" w:customStyle="1">
    <w:name w:val="Оглавление 5 Знак"/>
    <w:link w:val="521"/>
    <w:qFormat/>
    <w:rPr>
      <w:rFonts w:ascii="XO Thames" w:hAnsi="XO Thames"/>
      <w:sz w:val="28"/>
    </w:rPr>
  </w:style>
  <w:style w:type="character" w:styleId="41" w:customStyle="1">
    <w:name w:val="Оглавление 4 Знак1"/>
    <w:qFormat/>
    <w:rPr>
      <w:rFonts w:ascii="XO Thames" w:hAnsi="XO Thames"/>
      <w:color w:val="000000"/>
      <w:sz w:val="28"/>
    </w:rPr>
  </w:style>
  <w:style w:type="character" w:styleId="71" w:customStyle="1">
    <w:name w:val="Заголовок 7 Знак1"/>
    <w:basedOn w:val="1"/>
    <w:qFormat/>
    <w:rPr>
      <w:rFonts w:ascii="Times New Roman" w:hAnsi="Times New Roman"/>
      <w:color w:val="000000"/>
      <w:sz w:val="28"/>
    </w:rPr>
  </w:style>
  <w:style w:type="character" w:styleId="61" w:customStyle="1">
    <w:name w:val="Оглавление 6 Знак1"/>
    <w:qFormat/>
    <w:rPr>
      <w:rFonts w:ascii="XO Thames" w:hAnsi="XO Thames"/>
      <w:color w:val="000000"/>
      <w:sz w:val="28"/>
    </w:rPr>
  </w:style>
  <w:style w:type="character" w:styleId="711" w:customStyle="1">
    <w:name w:val="Оглавление 7 Знак1"/>
    <w:qFormat/>
    <w:rPr>
      <w:rFonts w:ascii="XO Thames" w:hAnsi="XO Thames"/>
      <w:color w:val="000000"/>
      <w:sz w:val="28"/>
    </w:rPr>
  </w:style>
  <w:style w:type="character" w:styleId="Style8" w:customStyle="1">
    <w:name w:val="Style8"/>
    <w:basedOn w:val="1"/>
    <w:link w:val="Style81"/>
    <w:qFormat/>
    <w:rPr>
      <w:rFonts w:ascii="Times New Roman" w:hAnsi="Times New Roman"/>
      <w:color w:val="000000"/>
      <w:sz w:val="24"/>
    </w:rPr>
  </w:style>
  <w:style w:type="character" w:styleId="3" w:customStyle="1">
    <w:name w:val="Заголовок 3 Знак"/>
    <w:basedOn w:val="1"/>
    <w:link w:val="321"/>
    <w:qFormat/>
    <w:rPr>
      <w:sz w:val="28"/>
    </w:rPr>
  </w:style>
  <w:style w:type="character" w:styleId="31" w:customStyle="1">
    <w:name w:val="Заголовок 3 Знак1"/>
    <w:basedOn w:val="1"/>
    <w:qFormat/>
    <w:rPr>
      <w:rFonts w:ascii="Times New Roman" w:hAnsi="Times New Roman"/>
      <w:color w:val="000000"/>
      <w:sz w:val="28"/>
    </w:rPr>
  </w:style>
  <w:style w:type="character" w:styleId="7" w:customStyle="1">
    <w:name w:val="Оглавление 7 Знак"/>
    <w:link w:val="721"/>
    <w:qFormat/>
    <w:rPr>
      <w:rFonts w:ascii="XO Thames" w:hAnsi="XO Thames"/>
      <w:sz w:val="28"/>
    </w:rPr>
  </w:style>
  <w:style w:type="character" w:styleId="13" w:customStyle="1">
    <w:name w:val="Основной текст с отступом Знак1"/>
    <w:basedOn w:val="1"/>
    <w:qFormat/>
    <w:rPr>
      <w:rFonts w:ascii="Times New Roman" w:hAnsi="Times New Roman"/>
      <w:color w:val="000000"/>
      <w:sz w:val="28"/>
    </w:rPr>
  </w:style>
  <w:style w:type="character" w:styleId="Hyperlink" w:customStyle="1">
    <w:name w:val="Hyperlink"/>
    <w:link w:val="28"/>
    <w:rPr>
      <w:color w:val="0000FF"/>
      <w:u w:val="single"/>
    </w:rPr>
  </w:style>
  <w:style w:type="character" w:styleId="14" w:customStyle="1">
    <w:name w:val="1 Знак"/>
    <w:basedOn w:val="1"/>
    <w:link w:val="117"/>
    <w:qFormat/>
    <w:rPr>
      <w:rFonts w:ascii="Verdana" w:hAnsi="Verdana"/>
      <w:color w:val="000000"/>
      <w:sz w:val="20"/>
    </w:rPr>
  </w:style>
  <w:style w:type="character" w:styleId="8" w:customStyle="1">
    <w:name w:val="Заголовок 8 Знак"/>
    <w:basedOn w:val="1"/>
    <w:link w:val="821"/>
    <w:qFormat/>
    <w:rPr>
      <w:sz w:val="24"/>
    </w:rPr>
  </w:style>
  <w:style w:type="character" w:styleId="ConsPlusNormal" w:customStyle="1">
    <w:name w:val="ConsPlusNormal"/>
    <w:link w:val="ConsPlusNormal1"/>
    <w:qFormat/>
    <w:rPr>
      <w:rFonts w:ascii="Arial" w:hAnsi="Arial"/>
      <w:color w:val="000000"/>
      <w:sz w:val="20"/>
    </w:rPr>
  </w:style>
  <w:style w:type="character" w:styleId="Style6" w:customStyle="1">
    <w:name w:val="Основной текст Знак"/>
    <w:basedOn w:val="1"/>
    <w:link w:val="25"/>
    <w:qFormat/>
    <w:rPr>
      <w:sz w:val="28"/>
    </w:rPr>
  </w:style>
  <w:style w:type="character" w:styleId="15" w:customStyle="1">
    <w:name w:val="Заголовок 1 Знак"/>
    <w:basedOn w:val="1"/>
    <w:link w:val="121"/>
    <w:qFormat/>
    <w:rPr>
      <w:b/>
      <w:sz w:val="36"/>
    </w:rPr>
  </w:style>
  <w:style w:type="character" w:styleId="ConsPlusNonformat" w:customStyle="1">
    <w:name w:val="ConsPlusNonformat"/>
    <w:link w:val="ConsPlusNonformat1"/>
    <w:qFormat/>
    <w:rPr>
      <w:rFonts w:ascii="Courier New" w:hAnsi="Courier New"/>
      <w:color w:val="000000"/>
      <w:sz w:val="20"/>
    </w:rPr>
  </w:style>
  <w:style w:type="character" w:styleId="Style7" w:customStyle="1">
    <w:name w:val="Верхний колонтитул Знак"/>
    <w:basedOn w:val="1"/>
    <w:link w:val="26"/>
    <w:qFormat/>
    <w:rPr/>
  </w:style>
  <w:style w:type="character" w:styleId="16" w:customStyle="1">
    <w:name w:val="Название объекта1"/>
    <w:basedOn w:val="1"/>
    <w:qFormat/>
    <w:rPr>
      <w:rFonts w:ascii="PT Astra Serif" w:hAnsi="PT Astra Serif"/>
      <w:i/>
      <w:color w:val="000000"/>
      <w:sz w:val="24"/>
    </w:rPr>
  </w:style>
  <w:style w:type="character" w:styleId="Style9" w:customStyle="1">
    <w:name w:val="Обычный (веб) Знак"/>
    <w:basedOn w:val="1"/>
    <w:link w:val="NormalWeb"/>
    <w:qFormat/>
    <w:rPr>
      <w:rFonts w:ascii="Times New Roman" w:hAnsi="Times New Roman"/>
      <w:color w:val="000000"/>
      <w:sz w:val="24"/>
    </w:rPr>
  </w:style>
  <w:style w:type="character" w:styleId="311" w:customStyle="1">
    <w:name w:val="Оглавление 3 Знак1"/>
    <w:qFormat/>
    <w:rPr>
      <w:rFonts w:ascii="XO Thames" w:hAnsi="XO Thames"/>
      <w:color w:val="000000"/>
      <w:sz w:val="28"/>
    </w:rPr>
  </w:style>
  <w:style w:type="character" w:styleId="Style10" w:customStyle="1">
    <w:name w:val="Заголовок Знак"/>
    <w:link w:val="27"/>
    <w:qFormat/>
    <w:rPr>
      <w:rFonts w:ascii="XO Thames" w:hAnsi="XO Thames"/>
      <w:b/>
      <w:caps/>
      <w:sz w:val="40"/>
    </w:rPr>
  </w:style>
  <w:style w:type="character" w:styleId="Style11" w:customStyle="1">
    <w:name w:val="Схема документа Знак"/>
    <w:basedOn w:val="1"/>
    <w:link w:val="DocumentMap"/>
    <w:qFormat/>
    <w:rPr>
      <w:rFonts w:ascii="Tahoma" w:hAnsi="Tahoma"/>
      <w:color w:val="000000"/>
      <w:sz w:val="20"/>
    </w:rPr>
  </w:style>
  <w:style w:type="character" w:styleId="4" w:customStyle="1">
    <w:name w:val="Заголовок 4 Знак"/>
    <w:basedOn w:val="1"/>
    <w:link w:val="421"/>
    <w:qFormat/>
    <w:rPr>
      <w:sz w:val="28"/>
    </w:rPr>
  </w:style>
  <w:style w:type="character" w:styleId="72" w:customStyle="1">
    <w:name w:val="Заголовок 7 Знак"/>
    <w:basedOn w:val="1"/>
    <w:link w:val="722"/>
    <w:qFormat/>
    <w:rPr>
      <w:sz w:val="28"/>
    </w:rPr>
  </w:style>
  <w:style w:type="character" w:styleId="FontStyle16" w:customStyle="1">
    <w:name w:val="Font Style16"/>
    <w:basedOn w:val="18"/>
    <w:link w:val="FontStyle161"/>
    <w:qFormat/>
    <w:rPr>
      <w:rFonts w:ascii="Times New Roman" w:hAnsi="Times New Roman"/>
      <w:color w:val="000000"/>
      <w:spacing w:val="10"/>
      <w:sz w:val="24"/>
    </w:rPr>
  </w:style>
  <w:style w:type="character" w:styleId="51" w:customStyle="1">
    <w:name w:val="Заголовок 5 Знак1"/>
    <w:basedOn w:val="1"/>
    <w:qFormat/>
    <w:rPr>
      <w:rFonts w:ascii="Times New Roman" w:hAnsi="Times New Roman"/>
      <w:color w:val="000000"/>
      <w:sz w:val="26"/>
    </w:rPr>
  </w:style>
  <w:style w:type="character" w:styleId="FontStyle14" w:customStyle="1">
    <w:name w:val="Font Style14"/>
    <w:basedOn w:val="18"/>
    <w:link w:val="FontStyle141"/>
    <w:qFormat/>
    <w:rPr>
      <w:rFonts w:ascii="Times New Roman" w:hAnsi="Times New Roman"/>
      <w:color w:val="000000"/>
      <w:sz w:val="26"/>
    </w:rPr>
  </w:style>
  <w:style w:type="character" w:styleId="111" w:customStyle="1">
    <w:name w:val="Заголовок 1 Знак1"/>
    <w:basedOn w:val="1"/>
    <w:qFormat/>
    <w:rPr>
      <w:rFonts w:ascii="Times New Roman" w:hAnsi="Times New Roman"/>
      <w:b/>
      <w:color w:val="000000"/>
      <w:sz w:val="36"/>
    </w:rPr>
  </w:style>
  <w:style w:type="character" w:styleId="Footnote" w:customStyle="1">
    <w:name w:val="Footnote"/>
    <w:link w:val="Footnote1"/>
    <w:qFormat/>
    <w:rPr>
      <w:rFonts w:ascii="XO Thames" w:hAnsi="XO Thames"/>
      <w:color w:val="000000"/>
      <w:sz w:val="22"/>
    </w:rPr>
  </w:style>
  <w:style w:type="character" w:styleId="81" w:customStyle="1">
    <w:name w:val="Заголовок 8 Знак1"/>
    <w:basedOn w:val="1"/>
    <w:qFormat/>
    <w:rPr>
      <w:rFonts w:ascii="Times New Roman" w:hAnsi="Times New Roman"/>
      <w:color w:val="000000"/>
      <w:sz w:val="24"/>
    </w:rPr>
  </w:style>
  <w:style w:type="character" w:styleId="6" w:customStyle="1">
    <w:name w:val="Заголовок 6 Знак"/>
    <w:basedOn w:val="1"/>
    <w:link w:val="621"/>
    <w:qFormat/>
    <w:rPr>
      <w:sz w:val="26"/>
    </w:rPr>
  </w:style>
  <w:style w:type="character" w:styleId="112" w:customStyle="1">
    <w:name w:val="Оглавление 1 Знак1"/>
    <w:qFormat/>
    <w:rPr>
      <w:rFonts w:ascii="XO Thames" w:hAnsi="XO Thames"/>
      <w:b/>
      <w:color w:val="000000"/>
      <w:sz w:val="28"/>
    </w:rPr>
  </w:style>
  <w:style w:type="character" w:styleId="ConsPlusTitle" w:customStyle="1">
    <w:name w:val="ConsPlusTitle"/>
    <w:link w:val="ConsPlusTitle1"/>
    <w:qFormat/>
    <w:rPr>
      <w:rFonts w:ascii="Arial" w:hAnsi="Arial"/>
      <w:b/>
      <w:color w:val="000000"/>
      <w:sz w:val="20"/>
    </w:rPr>
  </w:style>
  <w:style w:type="character" w:styleId="HeaderandFooter" w:customStyle="1">
    <w:name w:val="Header and Footer"/>
    <w:link w:val="HeaderandFooter1"/>
    <w:qFormat/>
    <w:rPr>
      <w:rFonts w:ascii="XO Thames" w:hAnsi="XO Thames"/>
      <w:sz w:val="20"/>
    </w:rPr>
  </w:style>
  <w:style w:type="character" w:styleId="62" w:customStyle="1">
    <w:name w:val="Оглавление 6 Знак"/>
    <w:link w:val="622"/>
    <w:qFormat/>
    <w:rPr>
      <w:rFonts w:ascii="XO Thames" w:hAnsi="XO Thames"/>
      <w:sz w:val="28"/>
    </w:rPr>
  </w:style>
  <w:style w:type="character" w:styleId="HTML" w:customStyle="1">
    <w:name w:val="Стандартный HTML Знак"/>
    <w:basedOn w:val="1"/>
    <w:link w:val="HTMLPreformatted"/>
    <w:qFormat/>
    <w:rPr>
      <w:rFonts w:ascii="Courier New" w:hAnsi="Courier New"/>
      <w:color w:val="000000"/>
      <w:sz w:val="20"/>
    </w:rPr>
  </w:style>
  <w:style w:type="character" w:styleId="91" w:customStyle="1">
    <w:name w:val="Оглавление 9 Знак1"/>
    <w:qFormat/>
    <w:rPr>
      <w:rFonts w:ascii="XO Thames" w:hAnsi="XO Thames"/>
      <w:color w:val="000000"/>
      <w:sz w:val="28"/>
    </w:rPr>
  </w:style>
  <w:style w:type="character" w:styleId="2" w:customStyle="1">
    <w:name w:val="Оглавление 2 Знак"/>
    <w:link w:val="221"/>
    <w:qFormat/>
    <w:rPr>
      <w:rFonts w:ascii="XO Thames" w:hAnsi="XO Thames"/>
      <w:sz w:val="28"/>
    </w:rPr>
  </w:style>
  <w:style w:type="character" w:styleId="17" w:customStyle="1">
    <w:name w:val="Номер страницы1"/>
    <w:basedOn w:val="18"/>
    <w:link w:val="119"/>
    <w:qFormat/>
    <w:rPr>
      <w:rFonts w:ascii="Times New Roman" w:hAnsi="Times New Roman"/>
      <w:color w:val="000000"/>
      <w:sz w:val="20"/>
    </w:rPr>
  </w:style>
  <w:style w:type="character" w:styleId="22" w:customStyle="1">
    <w:name w:val="Основной текст с отступом 2 Знак"/>
    <w:basedOn w:val="1"/>
    <w:link w:val="BodyTextIndent2"/>
    <w:qFormat/>
    <w:rPr>
      <w:rFonts w:ascii="Times New Roman" w:hAnsi="Times New Roman"/>
      <w:color w:val="000000"/>
      <w:sz w:val="28"/>
    </w:rPr>
  </w:style>
  <w:style w:type="character" w:styleId="32" w:customStyle="1">
    <w:name w:val="Основной текст с отступом 3 Знак"/>
    <w:basedOn w:val="1"/>
    <w:link w:val="BodyTextIndent3"/>
    <w:qFormat/>
    <w:rPr>
      <w:rFonts w:ascii="Times New Roman" w:hAnsi="Times New Roman"/>
      <w:color w:val="000000"/>
      <w:sz w:val="28"/>
    </w:rPr>
  </w:style>
  <w:style w:type="character" w:styleId="18" w:customStyle="1">
    <w:name w:val="Основной шрифт абзаца1"/>
    <w:link w:val="1110"/>
    <w:qFormat/>
    <w:rPr>
      <w:rFonts w:ascii="Times New Roman" w:hAnsi="Times New Roman"/>
      <w:color w:val="000000"/>
      <w:sz w:val="20"/>
    </w:rPr>
  </w:style>
  <w:style w:type="character" w:styleId="811" w:customStyle="1">
    <w:name w:val="Оглавление 8 Знак1"/>
    <w:qFormat/>
    <w:rPr>
      <w:rFonts w:ascii="XO Thames" w:hAnsi="XO Thames"/>
      <w:color w:val="000000"/>
      <w:sz w:val="28"/>
    </w:rPr>
  </w:style>
  <w:style w:type="character" w:styleId="Style12" w:customStyle="1">
    <w:name w:val="Текст выноски Знак"/>
    <w:basedOn w:val="1"/>
    <w:link w:val="BalloonText"/>
    <w:qFormat/>
    <w:rPr>
      <w:rFonts w:ascii="Tahoma" w:hAnsi="Tahoma"/>
      <w:color w:val="000000"/>
      <w:sz w:val="16"/>
    </w:rPr>
  </w:style>
  <w:style w:type="character" w:styleId="ConsPlusCell" w:customStyle="1">
    <w:name w:val="ConsPlusCell"/>
    <w:link w:val="ConsPlusCell1"/>
    <w:qFormat/>
    <w:rPr>
      <w:rFonts w:ascii="Arial" w:hAnsi="Arial"/>
      <w:color w:val="000000"/>
      <w:sz w:val="20"/>
    </w:rPr>
  </w:style>
  <w:style w:type="character" w:styleId="Style13" w:customStyle="1">
    <w:name w:val="Список Знак"/>
    <w:basedOn w:val="19"/>
    <w:qFormat/>
    <w:rPr>
      <w:rFonts w:ascii="PT Astra Serif" w:hAnsi="PT Astra Serif"/>
      <w:color w:val="000000"/>
      <w:sz w:val="28"/>
    </w:rPr>
  </w:style>
  <w:style w:type="character" w:styleId="Style14" w:customStyle="1">
    <w:name w:val="Подзаголовок Знак"/>
    <w:link w:val="29"/>
    <w:qFormat/>
    <w:rPr>
      <w:rFonts w:ascii="XO Thames" w:hAnsi="XO Thames"/>
      <w:i/>
      <w:sz w:val="24"/>
    </w:rPr>
  </w:style>
  <w:style w:type="character" w:styleId="FontStyle13" w:customStyle="1">
    <w:name w:val="Font Style13"/>
    <w:basedOn w:val="18"/>
    <w:link w:val="FontStyle131"/>
    <w:qFormat/>
    <w:rPr>
      <w:rFonts w:ascii="Times New Roman" w:hAnsi="Times New Roman"/>
      <w:color w:val="000000"/>
      <w:sz w:val="26"/>
    </w:rPr>
  </w:style>
  <w:style w:type="character" w:styleId="p5" w:customStyle="1">
    <w:name w:val="p5"/>
    <w:basedOn w:val="1"/>
    <w:link w:val="p51"/>
    <w:qFormat/>
    <w:rPr>
      <w:rFonts w:ascii="Times New Roman" w:hAnsi="Times New Roman"/>
      <w:color w:val="000000"/>
      <w:sz w:val="24"/>
    </w:rPr>
  </w:style>
  <w:style w:type="character" w:styleId="23" w:customStyle="1">
    <w:name w:val="Заголовок 2 Знак"/>
    <w:basedOn w:val="1"/>
    <w:link w:val="222"/>
    <w:qFormat/>
    <w:rPr>
      <w:sz w:val="28"/>
    </w:rPr>
  </w:style>
  <w:style w:type="character" w:styleId="24" w:customStyle="1">
    <w:name w:val="Основной текст 2 Знак"/>
    <w:basedOn w:val="1"/>
    <w:link w:val="BodyText2"/>
    <w:qFormat/>
    <w:rPr>
      <w:rFonts w:ascii="Times New Roman" w:hAnsi="Times New Roman"/>
      <w:color w:val="000000"/>
      <w:sz w:val="28"/>
    </w:rPr>
  </w:style>
  <w:style w:type="character" w:styleId="19" w:customStyle="1">
    <w:name w:val="Основной текст Знак1"/>
    <w:basedOn w:val="1"/>
    <w:qFormat/>
    <w:rPr>
      <w:rFonts w:ascii="Times New Roman" w:hAnsi="Times New Roman"/>
      <w:color w:val="000000"/>
      <w:sz w:val="28"/>
    </w:rPr>
  </w:style>
  <w:style w:type="character" w:styleId="511" w:customStyle="1">
    <w:name w:val="Оглавление 5 Знак1"/>
    <w:qFormat/>
    <w:rPr>
      <w:rFonts w:ascii="XO Thames" w:hAnsi="XO Thames"/>
      <w:color w:val="000000"/>
      <w:sz w:val="28"/>
    </w:rPr>
  </w:style>
  <w:style w:type="character" w:styleId="42" w:customStyle="1">
    <w:name w:val="Оглавление 4 Знак"/>
    <w:link w:val="422"/>
    <w:qFormat/>
    <w:rPr>
      <w:rFonts w:ascii="XO Thames" w:hAnsi="XO Thames"/>
      <w:sz w:val="28"/>
    </w:rPr>
  </w:style>
  <w:style w:type="character" w:styleId="110" w:customStyle="1">
    <w:name w:val="Заголовок1"/>
    <w:basedOn w:val="1"/>
    <w:qFormat/>
    <w:rPr>
      <w:rFonts w:ascii="PT Astra Serif" w:hAnsi="PT Astra Serif"/>
      <w:color w:val="000000"/>
      <w:sz w:val="28"/>
    </w:rPr>
  </w:style>
  <w:style w:type="character" w:styleId="Style15" w:customStyle="1">
    <w:name w:val="Основной текст с отступом Знак"/>
    <w:basedOn w:val="1"/>
    <w:link w:val="210"/>
    <w:qFormat/>
    <w:rPr>
      <w:sz w:val="28"/>
    </w:rPr>
  </w:style>
  <w:style w:type="character" w:styleId="82" w:customStyle="1">
    <w:name w:val="Оглавление 8 Знак"/>
    <w:link w:val="822"/>
    <w:qFormat/>
    <w:rPr>
      <w:rFonts w:ascii="XO Thames" w:hAnsi="XO Thames"/>
      <w:sz w:val="28"/>
    </w:rPr>
  </w:style>
  <w:style w:type="character" w:styleId="113" w:customStyle="1">
    <w:name w:val="Подзаголовок Знак1"/>
    <w:qFormat/>
    <w:rPr>
      <w:rFonts w:ascii="XO Thames" w:hAnsi="XO Thames"/>
      <w:i/>
      <w:color w:val="000000"/>
      <w:sz w:val="24"/>
    </w:rPr>
  </w:style>
  <w:style w:type="character" w:styleId="9" w:customStyle="1">
    <w:name w:val="Оглавление 9 Знак"/>
    <w:link w:val="92"/>
    <w:qFormat/>
    <w:rPr>
      <w:rFonts w:ascii="XO Thames" w:hAnsi="XO Thames"/>
      <w:sz w:val="28"/>
    </w:rPr>
  </w:style>
  <w:style w:type="character" w:styleId="114" w:customStyle="1">
    <w:name w:val="Заголовок Знак1"/>
    <w:qFormat/>
    <w:rPr>
      <w:rFonts w:ascii="XO Thames" w:hAnsi="XO Thames"/>
      <w:b/>
      <w:caps/>
      <w:color w:val="000000"/>
      <w:sz w:val="40"/>
    </w:rPr>
  </w:style>
  <w:style w:type="character" w:styleId="411" w:customStyle="1">
    <w:name w:val="Заголовок 4 Знак1"/>
    <w:basedOn w:val="1"/>
    <w:qFormat/>
    <w:rPr>
      <w:rFonts w:ascii="Times New Roman" w:hAnsi="Times New Roman"/>
      <w:color w:val="000000"/>
      <w:sz w:val="28"/>
    </w:rPr>
  </w:style>
  <w:style w:type="character" w:styleId="Style16" w:customStyle="1">
    <w:name w:val="Колонтитул"/>
    <w:link w:val="120"/>
    <w:qFormat/>
    <w:rPr>
      <w:rFonts w:ascii="XO Thames" w:hAnsi="XO Thames"/>
      <w:color w:val="000000"/>
      <w:sz w:val="20"/>
    </w:rPr>
  </w:style>
  <w:style w:type="character" w:styleId="211" w:customStyle="1">
    <w:name w:val="Заголовок 2 Знак1"/>
    <w:basedOn w:val="1"/>
    <w:qFormat/>
    <w:rPr>
      <w:rFonts w:ascii="Times New Roman" w:hAnsi="Times New Roman"/>
      <w:color w:val="000000"/>
      <w:sz w:val="28"/>
    </w:rPr>
  </w:style>
  <w:style w:type="character" w:styleId="115" w:customStyle="1">
    <w:name w:val="Оглавление 1 Знак"/>
    <w:link w:val="122"/>
    <w:qFormat/>
    <w:rPr>
      <w:rFonts w:ascii="XO Thames" w:hAnsi="XO Thames"/>
      <w:b/>
      <w:sz w:val="28"/>
    </w:rPr>
  </w:style>
  <w:style w:type="character" w:styleId="52" w:customStyle="1">
    <w:name w:val="Заголовок 5 Знак"/>
    <w:basedOn w:val="1"/>
    <w:link w:val="522"/>
    <w:qFormat/>
    <w:rPr>
      <w:sz w:val="26"/>
    </w:rPr>
  </w:style>
  <w:style w:type="character" w:styleId="Style17" w:customStyle="1">
    <w:name w:val="Название объекта Знак"/>
    <w:basedOn w:val="1"/>
    <w:qFormat/>
    <w:rPr>
      <w:rFonts w:ascii="Times New Roman" w:hAnsi="Times New Roman"/>
      <w:color w:val="000000"/>
      <w:sz w:val="28"/>
    </w:rPr>
  </w:style>
  <w:style w:type="character" w:styleId="Style18" w:customStyle="1">
    <w:name w:val="Указатель Знак"/>
    <w:basedOn w:val="1"/>
    <w:qFormat/>
    <w:rPr>
      <w:rFonts w:ascii="PT Astra Serif" w:hAnsi="PT Astra Serif"/>
      <w:color w:val="000000"/>
      <w:sz w:val="20"/>
    </w:rPr>
  </w:style>
  <w:style w:type="character" w:styleId="611" w:customStyle="1">
    <w:name w:val="Заголовок 6 Знак1"/>
    <w:basedOn w:val="1"/>
    <w:qFormat/>
    <w:rPr>
      <w:rFonts w:ascii="Times New Roman" w:hAnsi="Times New Roman"/>
      <w:color w:val="000000"/>
      <w:sz w:val="26"/>
    </w:rPr>
  </w:style>
  <w:style w:type="character" w:styleId="33" w:customStyle="1">
    <w:name w:val="Оглавление 3 Знак"/>
    <w:link w:val="322"/>
    <w:qFormat/>
    <w:rPr>
      <w:rFonts w:ascii="XO Thames" w:hAnsi="XO Thames"/>
      <w:sz w:val="28"/>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19"/>
    <w:pPr>
      <w:jc w:val="both"/>
    </w:pPr>
    <w:rPr>
      <w:sz w:val="28"/>
    </w:rPr>
  </w:style>
  <w:style w:type="paragraph" w:styleId="List">
    <w:name w:val="List"/>
    <w:basedOn w:val="BodyText"/>
    <w:link w:val="Style13"/>
    <w:pPr/>
    <w:rPr>
      <w:rFonts w:ascii="PT Astra Serif" w:hAnsi="PT Astra Serif"/>
    </w:rPr>
  </w:style>
  <w:style w:type="paragraph" w:styleId="Caption">
    <w:name w:val="caption"/>
    <w:basedOn w:val="Normal"/>
    <w:next w:val="Normal"/>
    <w:link w:val="Style17"/>
    <w:qFormat/>
    <w:pPr>
      <w:jc w:val="center"/>
    </w:pPr>
    <w:rPr>
      <w:sz w:val="28"/>
    </w:rPr>
  </w:style>
  <w:style w:type="paragraph" w:styleId="Style20">
    <w:name w:val="Указатель"/>
    <w:basedOn w:val="Normal"/>
    <w:qFormat/>
    <w:pPr>
      <w:suppressLineNumbers/>
    </w:pPr>
    <w:rPr>
      <w:rFonts w:ascii="PT Astra Serif" w:hAnsi="PT Astra Serif" w:cs="Noto Sans Devanagari"/>
    </w:rPr>
  </w:style>
  <w:style w:type="paragraph" w:styleId="HeaderandFooter1" w:customStyle="1">
    <w:name w:val="Header and Footer1"/>
    <w:link w:val="HeaderandFooter"/>
    <w:qFormat/>
    <w:pPr>
      <w:widowControl/>
      <w:bidi w:val="0"/>
      <w:spacing w:before="0" w:after="0"/>
      <w:jc w:val="left"/>
    </w:pPr>
    <w:rPr>
      <w:rFonts w:ascii="XO Thames" w:hAnsi="XO Thames" w:eastAsia="Times New Roman" w:cs="Times New Roman"/>
      <w:color w:val="000000"/>
      <w:kern w:val="0"/>
      <w:sz w:val="20"/>
      <w:szCs w:val="20"/>
      <w:lang w:val="ru-RU" w:eastAsia="ru-RU" w:bidi="ar-SA"/>
    </w:rPr>
  </w:style>
  <w:style w:type="paragraph" w:styleId="Header">
    <w:name w:val="header"/>
    <w:basedOn w:val="Normal"/>
    <w:link w:val="11"/>
    <w:pPr>
      <w:tabs>
        <w:tab w:val="clear" w:pos="720"/>
        <w:tab w:val="center" w:pos="4677" w:leader="none"/>
        <w:tab w:val="right" w:pos="9355" w:leader="none"/>
      </w:tabs>
    </w:pPr>
    <w:rPr/>
  </w:style>
  <w:style w:type="paragraph" w:styleId="TOC2">
    <w:name w:val="toc 2"/>
    <w:next w:val="Normal"/>
    <w:link w:val="21"/>
    <w:uiPriority w:val="39"/>
    <w:pPr>
      <w:widowControl/>
      <w:bidi w:val="0"/>
      <w:spacing w:before="0" w:after="0"/>
      <w:ind w:left="200"/>
      <w:jc w:val="left"/>
    </w:pPr>
    <w:rPr>
      <w:rFonts w:ascii="XO Thames" w:hAnsi="XO Thames" w:eastAsia="Times New Roman" w:cs="Times New Roman"/>
      <w:color w:val="000000"/>
      <w:kern w:val="0"/>
      <w:sz w:val="28"/>
      <w:szCs w:val="20"/>
      <w:lang w:val="ru-RU" w:eastAsia="ru-RU" w:bidi="ar-SA"/>
    </w:rPr>
  </w:style>
  <w:style w:type="paragraph" w:styleId="116" w:customStyle="1">
    <w:name w:val="Гиперссылка11"/>
    <w:link w:val="12"/>
    <w:qFormat/>
    <w:pPr>
      <w:widowControl/>
      <w:bidi w:val="0"/>
      <w:spacing w:before="0" w:after="0"/>
      <w:jc w:val="left"/>
    </w:pPr>
    <w:rPr>
      <w:rFonts w:ascii="Times New Roman" w:hAnsi="Times New Roman" w:eastAsia="Times New Roman" w:cs="Times New Roman"/>
      <w:color w:val="0000FF"/>
      <w:kern w:val="0"/>
      <w:sz w:val="20"/>
      <w:szCs w:val="20"/>
      <w:u w:val="single"/>
      <w:lang w:val="ru-RU" w:eastAsia="ru-RU" w:bidi="ar-SA"/>
    </w:rPr>
  </w:style>
  <w:style w:type="paragraph" w:styleId="521" w:customStyle="1">
    <w:name w:val="Оглавление 5 Знак2"/>
    <w:link w:val="5"/>
    <w:qFormat/>
    <w:pPr>
      <w:widowControl/>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TOC4">
    <w:name w:val="toc 4"/>
    <w:next w:val="Normal"/>
    <w:link w:val="41"/>
    <w:uiPriority w:val="39"/>
    <w:pPr>
      <w:widowControl/>
      <w:bidi w:val="0"/>
      <w:spacing w:before="0" w:after="0"/>
      <w:ind w:left="600"/>
      <w:jc w:val="left"/>
    </w:pPr>
    <w:rPr>
      <w:rFonts w:ascii="XO Thames" w:hAnsi="XO Thames" w:eastAsia="Times New Roman" w:cs="Times New Roman"/>
      <w:color w:val="000000"/>
      <w:kern w:val="0"/>
      <w:sz w:val="28"/>
      <w:szCs w:val="20"/>
      <w:lang w:val="ru-RU" w:eastAsia="ru-RU" w:bidi="ar-SA"/>
    </w:rPr>
  </w:style>
  <w:style w:type="paragraph" w:styleId="TOC6">
    <w:name w:val="toc 6"/>
    <w:next w:val="Normal"/>
    <w:link w:val="61"/>
    <w:uiPriority w:val="39"/>
    <w:pPr>
      <w:widowControl/>
      <w:bidi w:val="0"/>
      <w:spacing w:before="0" w:after="0"/>
      <w:ind w:left="1000"/>
      <w:jc w:val="left"/>
    </w:pPr>
    <w:rPr>
      <w:rFonts w:ascii="XO Thames" w:hAnsi="XO Thames" w:eastAsia="Times New Roman" w:cs="Times New Roman"/>
      <w:color w:val="000000"/>
      <w:kern w:val="0"/>
      <w:sz w:val="28"/>
      <w:szCs w:val="20"/>
      <w:lang w:val="ru-RU" w:eastAsia="ru-RU" w:bidi="ar-SA"/>
    </w:rPr>
  </w:style>
  <w:style w:type="paragraph" w:styleId="TOC7">
    <w:name w:val="toc 7"/>
    <w:next w:val="Normal"/>
    <w:link w:val="711"/>
    <w:uiPriority w:val="39"/>
    <w:pPr>
      <w:widowControl/>
      <w:bidi w:val="0"/>
      <w:spacing w:before="0" w:after="0"/>
      <w:ind w:left="1200"/>
      <w:jc w:val="left"/>
    </w:pPr>
    <w:rPr>
      <w:rFonts w:ascii="XO Thames" w:hAnsi="XO Thames" w:eastAsia="Times New Roman" w:cs="Times New Roman"/>
      <w:color w:val="000000"/>
      <w:kern w:val="0"/>
      <w:sz w:val="28"/>
      <w:szCs w:val="20"/>
      <w:lang w:val="ru-RU" w:eastAsia="ru-RU" w:bidi="ar-SA"/>
    </w:rPr>
  </w:style>
  <w:style w:type="paragraph" w:styleId="Style81" w:customStyle="1">
    <w:name w:val="Style81"/>
    <w:basedOn w:val="Normal"/>
    <w:link w:val="Style8"/>
    <w:qFormat/>
    <w:pPr>
      <w:widowControl w:val="false"/>
      <w:spacing w:lineRule="exact" w:line="322"/>
      <w:ind w:firstLine="720"/>
      <w:jc w:val="both"/>
    </w:pPr>
    <w:rPr>
      <w:sz w:val="24"/>
    </w:rPr>
  </w:style>
  <w:style w:type="paragraph" w:styleId="321" w:customStyle="1">
    <w:name w:val="Заголовок 3 Знак2"/>
    <w:basedOn w:val="118"/>
    <w:link w:val="3"/>
    <w:qFormat/>
    <w:pPr/>
    <w:rPr>
      <w:sz w:val="28"/>
    </w:rPr>
  </w:style>
  <w:style w:type="paragraph" w:styleId="721" w:customStyle="1">
    <w:name w:val="Оглавление 7 Знак2"/>
    <w:link w:val="7"/>
    <w:qFormat/>
    <w:pPr>
      <w:widowControl/>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BodyTextIndent">
    <w:name w:val="Body Text Indent"/>
    <w:basedOn w:val="Normal"/>
    <w:link w:val="13"/>
    <w:pPr>
      <w:ind w:firstLine="993"/>
      <w:jc w:val="both"/>
    </w:pPr>
    <w:rPr>
      <w:sz w:val="28"/>
    </w:rPr>
  </w:style>
  <w:style w:type="paragraph" w:styleId="-" w:customStyle="1">
    <w:name w:val="Интернет-ссылка"/>
    <w:link w:val="Hyperlink"/>
    <w:qFormat/>
    <w:pPr>
      <w:widowControl/>
      <w:bidi w:val="0"/>
      <w:spacing w:before="0" w:after="0"/>
      <w:jc w:val="left"/>
    </w:pPr>
    <w:rPr>
      <w:rFonts w:ascii="Times New Roman" w:hAnsi="Times New Roman" w:eastAsia="Times New Roman" w:cs="Times New Roman"/>
      <w:color w:val="0000FF"/>
      <w:kern w:val="0"/>
      <w:sz w:val="20"/>
      <w:szCs w:val="20"/>
      <w:u w:val="single"/>
      <w:lang w:val="ru-RU" w:eastAsia="ru-RU" w:bidi="ar-SA"/>
    </w:rPr>
  </w:style>
  <w:style w:type="paragraph" w:styleId="117" w:customStyle="1">
    <w:name w:val="1 Знак1"/>
    <w:basedOn w:val="Normal"/>
    <w:link w:val="14"/>
    <w:qFormat/>
    <w:pPr>
      <w:tabs>
        <w:tab w:val="left" w:pos="720" w:leader="none"/>
      </w:tabs>
      <w:spacing w:lineRule="exact" w:line="240" w:before="0" w:after="160"/>
      <w:ind w:hanging="720" w:left="720"/>
      <w:jc w:val="both"/>
    </w:pPr>
    <w:rPr>
      <w:rFonts w:ascii="Verdana" w:hAnsi="Verdana"/>
    </w:rPr>
  </w:style>
  <w:style w:type="paragraph" w:styleId="821" w:customStyle="1">
    <w:name w:val="Заголовок 8 Знак2"/>
    <w:basedOn w:val="118"/>
    <w:link w:val="8"/>
    <w:qFormat/>
    <w:pPr/>
    <w:rPr>
      <w:sz w:val="24"/>
    </w:rPr>
  </w:style>
  <w:style w:type="paragraph" w:styleId="ConsPlusNormal1" w:customStyle="1">
    <w:name w:val="ConsPlusNormal1"/>
    <w:link w:val="ConsPlusNormal"/>
    <w:qFormat/>
    <w:pPr>
      <w:widowControl w:val="fals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118" w:customStyle="1">
    <w:name w:val="Обычный11"/>
    <w:link w:val="1"/>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25" w:customStyle="1">
    <w:name w:val="Основной текст Знак2"/>
    <w:basedOn w:val="118"/>
    <w:link w:val="Style6"/>
    <w:qFormat/>
    <w:pPr/>
    <w:rPr>
      <w:sz w:val="28"/>
    </w:rPr>
  </w:style>
  <w:style w:type="paragraph" w:styleId="121" w:customStyle="1">
    <w:name w:val="Заголовок 1 Знак2"/>
    <w:basedOn w:val="118"/>
    <w:link w:val="15"/>
    <w:qFormat/>
    <w:pPr/>
    <w:rPr>
      <w:b/>
      <w:sz w:val="36"/>
    </w:rPr>
  </w:style>
  <w:style w:type="paragraph" w:styleId="ConsPlusNonformat1" w:customStyle="1">
    <w:name w:val="ConsPlusNonformat1"/>
    <w:link w:val="ConsPlusNonformat"/>
    <w:qFormat/>
    <w:pPr>
      <w:widowControl w:val="fals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26" w:customStyle="1">
    <w:name w:val="Верхний колонтитул Знак2"/>
    <w:basedOn w:val="118"/>
    <w:link w:val="Style7"/>
    <w:qFormat/>
    <w:pPr/>
    <w:rPr/>
  </w:style>
  <w:style w:type="paragraph" w:styleId="NormalWeb">
    <w:name w:val="Normal (Web)"/>
    <w:basedOn w:val="Normal"/>
    <w:link w:val="Style9"/>
    <w:qFormat/>
    <w:pPr/>
    <w:rPr>
      <w:sz w:val="24"/>
    </w:rPr>
  </w:style>
  <w:style w:type="paragraph" w:styleId="TOC3">
    <w:name w:val="toc 3"/>
    <w:next w:val="Normal"/>
    <w:link w:val="311"/>
    <w:uiPriority w:val="39"/>
    <w:pPr>
      <w:widowControl/>
      <w:bidi w:val="0"/>
      <w:spacing w:before="0" w:after="0"/>
      <w:ind w:left="400"/>
      <w:jc w:val="left"/>
    </w:pPr>
    <w:rPr>
      <w:rFonts w:ascii="XO Thames" w:hAnsi="XO Thames" w:eastAsia="Times New Roman" w:cs="Times New Roman"/>
      <w:color w:val="000000"/>
      <w:kern w:val="0"/>
      <w:sz w:val="28"/>
      <w:szCs w:val="20"/>
      <w:lang w:val="ru-RU" w:eastAsia="ru-RU" w:bidi="ar-SA"/>
    </w:rPr>
  </w:style>
  <w:style w:type="paragraph" w:styleId="27" w:customStyle="1">
    <w:name w:val="Заголовок Знак2"/>
    <w:link w:val="Style10"/>
    <w:qFormat/>
    <w:pPr>
      <w:widowControl/>
      <w:bidi w:val="0"/>
      <w:spacing w:before="0" w:after="0"/>
      <w:jc w:val="left"/>
    </w:pPr>
    <w:rPr>
      <w:rFonts w:ascii="XO Thames" w:hAnsi="XO Thames" w:eastAsia="Times New Roman" w:cs="Times New Roman"/>
      <w:b/>
      <w:caps/>
      <w:color w:val="000000"/>
      <w:kern w:val="0"/>
      <w:sz w:val="40"/>
      <w:szCs w:val="20"/>
      <w:lang w:val="ru-RU" w:eastAsia="ru-RU" w:bidi="ar-SA"/>
    </w:rPr>
  </w:style>
  <w:style w:type="paragraph" w:styleId="DocumentMap">
    <w:name w:val="Document Map"/>
    <w:basedOn w:val="Normal"/>
    <w:link w:val="Style11"/>
    <w:qFormat/>
    <w:pPr/>
    <w:rPr>
      <w:rFonts w:ascii="Tahoma" w:hAnsi="Tahoma"/>
    </w:rPr>
  </w:style>
  <w:style w:type="paragraph" w:styleId="421" w:customStyle="1">
    <w:name w:val="Заголовок 4 Знак2"/>
    <w:basedOn w:val="118"/>
    <w:link w:val="4"/>
    <w:qFormat/>
    <w:pPr/>
    <w:rPr>
      <w:sz w:val="28"/>
    </w:rPr>
  </w:style>
  <w:style w:type="paragraph" w:styleId="722" w:customStyle="1">
    <w:name w:val="Заголовок 7 Знак2"/>
    <w:basedOn w:val="118"/>
    <w:link w:val="72"/>
    <w:qFormat/>
    <w:pPr/>
    <w:rPr>
      <w:sz w:val="28"/>
    </w:rPr>
  </w:style>
  <w:style w:type="paragraph" w:styleId="FontStyle161" w:customStyle="1">
    <w:name w:val="Font Style161"/>
    <w:basedOn w:val="1110"/>
    <w:link w:val="FontStyle16"/>
    <w:qFormat/>
    <w:pPr/>
    <w:rPr>
      <w:spacing w:val="10"/>
      <w:sz w:val="24"/>
    </w:rPr>
  </w:style>
  <w:style w:type="paragraph" w:styleId="FontStyle141" w:customStyle="1">
    <w:name w:val="Font Style141"/>
    <w:basedOn w:val="1110"/>
    <w:link w:val="FontStyle14"/>
    <w:qFormat/>
    <w:pPr/>
    <w:rPr>
      <w:sz w:val="26"/>
    </w:rPr>
  </w:style>
  <w:style w:type="paragraph" w:styleId="28" w:customStyle="1">
    <w:name w:val="Гиперссылка2"/>
    <w:qFormat/>
    <w:pPr>
      <w:widowControl/>
      <w:bidi w:val="0"/>
      <w:spacing w:before="0" w:after="0"/>
      <w:jc w:val="left"/>
    </w:pPr>
    <w:rPr>
      <w:rFonts w:ascii="Times New Roman" w:hAnsi="Times New Roman" w:eastAsia="Times New Roman" w:cs="Times New Roman"/>
      <w:color w:val="0000FF"/>
      <w:kern w:val="0"/>
      <w:sz w:val="20"/>
      <w:szCs w:val="20"/>
      <w:u w:val="single"/>
      <w:lang w:val="ru-RU" w:eastAsia="ru-RU" w:bidi="ar-SA"/>
    </w:rPr>
  </w:style>
  <w:style w:type="paragraph" w:styleId="Footnote1" w:customStyle="1">
    <w:name w:val="Footnote1"/>
    <w:link w:val="Footnote"/>
    <w:qFormat/>
    <w:pPr>
      <w:widowControl/>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621" w:customStyle="1">
    <w:name w:val="Заголовок 6 Знак2"/>
    <w:basedOn w:val="118"/>
    <w:link w:val="6"/>
    <w:qFormat/>
    <w:pPr/>
    <w:rPr>
      <w:sz w:val="26"/>
    </w:rPr>
  </w:style>
  <w:style w:type="paragraph" w:styleId="TOC1">
    <w:name w:val="toc 1"/>
    <w:next w:val="Normal"/>
    <w:link w:val="112"/>
    <w:uiPriority w:val="39"/>
    <w:pPr>
      <w:widowControl/>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ConsPlusTitle1" w:customStyle="1">
    <w:name w:val="ConsPlusTitle1"/>
    <w:link w:val="ConsPlusTitle"/>
    <w:qFormat/>
    <w:pPr>
      <w:widowControl w:val="false"/>
      <w:bidi w:val="0"/>
      <w:spacing w:before="0" w:after="0"/>
      <w:jc w:val="left"/>
    </w:pPr>
    <w:rPr>
      <w:rFonts w:ascii="Arial" w:hAnsi="Arial" w:eastAsia="Times New Roman" w:cs="Times New Roman"/>
      <w:b/>
      <w:color w:val="000000"/>
      <w:kern w:val="0"/>
      <w:sz w:val="20"/>
      <w:szCs w:val="20"/>
      <w:lang w:val="ru-RU" w:eastAsia="ru-RU" w:bidi="ar-SA"/>
    </w:rPr>
  </w:style>
  <w:style w:type="paragraph" w:styleId="622" w:customStyle="1">
    <w:name w:val="Оглавление 6 Знак2"/>
    <w:link w:val="62"/>
    <w:qFormat/>
    <w:pPr>
      <w:widowControl/>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HTMLPreformatted">
    <w:name w:val="HTML Preformatted"/>
    <w:basedOn w:val="Normal"/>
    <w:link w:val="HTM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rPr>
  </w:style>
  <w:style w:type="paragraph" w:styleId="TOC9">
    <w:name w:val="toc 9"/>
    <w:next w:val="Normal"/>
    <w:link w:val="91"/>
    <w:uiPriority w:val="39"/>
    <w:pPr>
      <w:widowControl/>
      <w:bidi w:val="0"/>
      <w:spacing w:before="0" w:after="0"/>
      <w:ind w:left="1600"/>
      <w:jc w:val="left"/>
    </w:pPr>
    <w:rPr>
      <w:rFonts w:ascii="XO Thames" w:hAnsi="XO Thames" w:eastAsia="Times New Roman" w:cs="Times New Roman"/>
      <w:color w:val="000000"/>
      <w:kern w:val="0"/>
      <w:sz w:val="28"/>
      <w:szCs w:val="20"/>
      <w:lang w:val="ru-RU" w:eastAsia="ru-RU" w:bidi="ar-SA"/>
    </w:rPr>
  </w:style>
  <w:style w:type="paragraph" w:styleId="221" w:customStyle="1">
    <w:name w:val="Оглавление 2 Знак2"/>
    <w:link w:val="2"/>
    <w:qFormat/>
    <w:pPr>
      <w:widowControl/>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119" w:customStyle="1">
    <w:name w:val="Номер страницы11"/>
    <w:basedOn w:val="1110"/>
    <w:link w:val="17"/>
    <w:qFormat/>
    <w:pPr/>
    <w:rPr/>
  </w:style>
  <w:style w:type="paragraph" w:styleId="BodyTextIndent2">
    <w:name w:val="Body Text Indent 2"/>
    <w:basedOn w:val="Normal"/>
    <w:link w:val="22"/>
    <w:qFormat/>
    <w:pPr>
      <w:ind w:hanging="426" w:left="426"/>
    </w:pPr>
    <w:rPr>
      <w:sz w:val="28"/>
    </w:rPr>
  </w:style>
  <w:style w:type="paragraph" w:styleId="BodyTextIndent3">
    <w:name w:val="Body Text Indent 3"/>
    <w:basedOn w:val="Normal"/>
    <w:link w:val="32"/>
    <w:qFormat/>
    <w:pPr>
      <w:ind w:firstLine="709"/>
      <w:jc w:val="both"/>
    </w:pPr>
    <w:rPr>
      <w:sz w:val="28"/>
    </w:rPr>
  </w:style>
  <w:style w:type="paragraph" w:styleId="1110" w:customStyle="1">
    <w:name w:val="Основной шрифт абзаца11"/>
    <w:link w:val="18"/>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OC8">
    <w:name w:val="toc 8"/>
    <w:next w:val="Normal"/>
    <w:link w:val="811"/>
    <w:uiPriority w:val="39"/>
    <w:pPr>
      <w:widowControl/>
      <w:bidi w:val="0"/>
      <w:spacing w:before="0" w:after="0"/>
      <w:ind w:left="1400"/>
      <w:jc w:val="left"/>
    </w:pPr>
    <w:rPr>
      <w:rFonts w:ascii="XO Thames" w:hAnsi="XO Thames" w:eastAsia="Times New Roman" w:cs="Times New Roman"/>
      <w:color w:val="000000"/>
      <w:kern w:val="0"/>
      <w:sz w:val="28"/>
      <w:szCs w:val="20"/>
      <w:lang w:val="ru-RU" w:eastAsia="ru-RU" w:bidi="ar-SA"/>
    </w:rPr>
  </w:style>
  <w:style w:type="paragraph" w:styleId="BalloonText">
    <w:name w:val="Balloon Text"/>
    <w:basedOn w:val="Normal"/>
    <w:link w:val="Style12"/>
    <w:qFormat/>
    <w:pPr/>
    <w:rPr>
      <w:rFonts w:ascii="Tahoma" w:hAnsi="Tahoma"/>
      <w:sz w:val="16"/>
    </w:rPr>
  </w:style>
  <w:style w:type="paragraph" w:styleId="ConsPlusCell1" w:customStyle="1">
    <w:name w:val="ConsPlusCell1"/>
    <w:link w:val="ConsPlusCell"/>
    <w:qFormat/>
    <w:pPr>
      <w:widowControl/>
      <w:bidi w:val="0"/>
      <w:spacing w:before="0" w:after="0"/>
      <w:jc w:val="left"/>
    </w:pPr>
    <w:rPr>
      <w:rFonts w:ascii="Arial" w:hAnsi="Arial" w:eastAsia="Times New Roman" w:cs="Times New Roman"/>
      <w:color w:val="000000"/>
      <w:kern w:val="0"/>
      <w:sz w:val="20"/>
      <w:szCs w:val="20"/>
      <w:lang w:val="ru-RU" w:eastAsia="ru-RU" w:bidi="ar-SA"/>
    </w:rPr>
  </w:style>
  <w:style w:type="paragraph" w:styleId="29" w:customStyle="1">
    <w:name w:val="Подзаголовок Знак2"/>
    <w:link w:val="Style14"/>
    <w:qFormat/>
    <w:pPr>
      <w:widowControl/>
      <w:bidi w:val="0"/>
      <w:spacing w:before="0" w:after="0"/>
      <w:jc w:val="left"/>
    </w:pPr>
    <w:rPr>
      <w:rFonts w:ascii="XO Thames" w:hAnsi="XO Thames" w:eastAsia="Times New Roman" w:cs="Times New Roman"/>
      <w:i/>
      <w:color w:val="000000"/>
      <w:kern w:val="0"/>
      <w:sz w:val="24"/>
      <w:szCs w:val="20"/>
      <w:lang w:val="ru-RU" w:eastAsia="ru-RU" w:bidi="ar-SA"/>
    </w:rPr>
  </w:style>
  <w:style w:type="paragraph" w:styleId="FontStyle131" w:customStyle="1">
    <w:name w:val="Font Style131"/>
    <w:basedOn w:val="1110"/>
    <w:link w:val="FontStyle13"/>
    <w:qFormat/>
    <w:pPr/>
    <w:rPr>
      <w:sz w:val="26"/>
    </w:rPr>
  </w:style>
  <w:style w:type="paragraph" w:styleId="p51" w:customStyle="1">
    <w:name w:val="p51"/>
    <w:basedOn w:val="Normal"/>
    <w:link w:val="p5"/>
    <w:qFormat/>
    <w:pPr>
      <w:spacing w:beforeAutospacing="1" w:afterAutospacing="1"/>
    </w:pPr>
    <w:rPr>
      <w:sz w:val="24"/>
    </w:rPr>
  </w:style>
  <w:style w:type="paragraph" w:styleId="222" w:customStyle="1">
    <w:name w:val="Заголовок 2 Знак2"/>
    <w:basedOn w:val="118"/>
    <w:link w:val="23"/>
    <w:qFormat/>
    <w:pPr/>
    <w:rPr>
      <w:sz w:val="28"/>
    </w:rPr>
  </w:style>
  <w:style w:type="paragraph" w:styleId="BodyText2">
    <w:name w:val="Body Text 2"/>
    <w:basedOn w:val="Normal"/>
    <w:link w:val="24"/>
    <w:qFormat/>
    <w:pPr/>
    <w:rPr>
      <w:sz w:val="28"/>
    </w:rPr>
  </w:style>
  <w:style w:type="paragraph" w:styleId="TOC5">
    <w:name w:val="toc 5"/>
    <w:next w:val="Normal"/>
    <w:link w:val="511"/>
    <w:uiPriority w:val="39"/>
    <w:pPr>
      <w:widowControl/>
      <w:bidi w:val="0"/>
      <w:spacing w:before="0" w:after="0"/>
      <w:ind w:left="800"/>
      <w:jc w:val="left"/>
    </w:pPr>
    <w:rPr>
      <w:rFonts w:ascii="XO Thames" w:hAnsi="XO Thames" w:eastAsia="Times New Roman" w:cs="Times New Roman"/>
      <w:color w:val="000000"/>
      <w:kern w:val="0"/>
      <w:sz w:val="28"/>
      <w:szCs w:val="20"/>
      <w:lang w:val="ru-RU" w:eastAsia="ru-RU" w:bidi="ar-SA"/>
    </w:rPr>
  </w:style>
  <w:style w:type="paragraph" w:styleId="422" w:customStyle="1">
    <w:name w:val="Оглавление 4 Знак2"/>
    <w:link w:val="42"/>
    <w:qFormat/>
    <w:pPr>
      <w:widowControl/>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Title">
    <w:name w:val="Title"/>
    <w:next w:val="Normal"/>
    <w:link w:val="114"/>
    <w:uiPriority w:val="10"/>
    <w:qFormat/>
    <w:pPr>
      <w:widowControl/>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210" w:customStyle="1">
    <w:name w:val="Основной текст с отступом Знак2"/>
    <w:basedOn w:val="118"/>
    <w:link w:val="Style15"/>
    <w:qFormat/>
    <w:pPr/>
    <w:rPr>
      <w:sz w:val="28"/>
    </w:rPr>
  </w:style>
  <w:style w:type="paragraph" w:styleId="822" w:customStyle="1">
    <w:name w:val="Оглавление 8 Знак2"/>
    <w:link w:val="82"/>
    <w:qFormat/>
    <w:pPr>
      <w:widowControl/>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Subtitle">
    <w:name w:val="Subtitle"/>
    <w:next w:val="Normal"/>
    <w:link w:val="113"/>
    <w:uiPriority w:val="11"/>
    <w:qFormat/>
    <w:pPr>
      <w:widowControl/>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92" w:customStyle="1">
    <w:name w:val="Оглавление 9 Знак2"/>
    <w:link w:val="9"/>
    <w:qFormat/>
    <w:pPr>
      <w:widowControl/>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212" w:customStyle="1">
    <w:name w:val="Основной шрифт абзаца2"/>
    <w:qFormat/>
    <w:pPr>
      <w:widowControl/>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120" w:customStyle="1">
    <w:name w:val="Колонтитул1"/>
    <w:link w:val="Style16"/>
    <w:qFormat/>
    <w:pPr>
      <w:widowControl/>
      <w:bidi w:val="0"/>
      <w:spacing w:before="0" w:after="0"/>
      <w:jc w:val="both"/>
    </w:pPr>
    <w:rPr>
      <w:rFonts w:ascii="XO Thames" w:hAnsi="XO Thames" w:eastAsia="Times New Roman" w:cs="Times New Roman"/>
      <w:color w:val="000000"/>
      <w:kern w:val="0"/>
      <w:sz w:val="20"/>
      <w:szCs w:val="20"/>
      <w:lang w:val="ru-RU" w:eastAsia="ru-RU" w:bidi="ar-SA"/>
    </w:rPr>
  </w:style>
  <w:style w:type="paragraph" w:styleId="122" w:customStyle="1">
    <w:name w:val="Оглавление 1 Знак2"/>
    <w:link w:val="115"/>
    <w:qFormat/>
    <w:pPr>
      <w:widowControl/>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522" w:customStyle="1">
    <w:name w:val="Заголовок 5 Знак2"/>
    <w:basedOn w:val="118"/>
    <w:link w:val="52"/>
    <w:qFormat/>
    <w:pPr/>
    <w:rPr>
      <w:sz w:val="26"/>
    </w:rPr>
  </w:style>
  <w:style w:type="paragraph" w:styleId="IndexHeading">
    <w:name w:val="index heading"/>
    <w:basedOn w:val="Normal"/>
    <w:link w:val="Style18"/>
    <w:pPr/>
    <w:rPr>
      <w:rFonts w:ascii="PT Astra Serif" w:hAnsi="PT Astra Serif"/>
    </w:rPr>
  </w:style>
  <w:style w:type="paragraph" w:styleId="322" w:customStyle="1">
    <w:name w:val="Оглавление 3 Знак2"/>
    <w:link w:val="33"/>
    <w:qFormat/>
    <w:pPr>
      <w:widowControl/>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NormalWeb1">
    <w:name w:val="Normal (Web)1"/>
    <w:basedOn w:val="Normal"/>
    <w:qFormat/>
    <w:pPr/>
    <w:rPr>
      <w:sz w:val="24"/>
    </w:rPr>
  </w:style>
  <w:style w:type="paragraph" w:styleId="ConsPlusNonformat11">
    <w:name w:val="ConsPlusNonformat11"/>
    <w:qFormat/>
    <w:pPr>
      <w:widowControl w:val="false"/>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HTMLPreformatted1">
    <w:name w:val="HTML Preformatted1"/>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rPr>
  </w:style>
  <w:style w:type="paragraph" w:styleId="ConsPlusNormal11">
    <w:name w:val="ConsPlusNormal11"/>
    <w:qFormat/>
    <w:pPr>
      <w:widowControl w:val="false"/>
      <w:suppressAutoHyphens w:val="tru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ConsPlusCell11">
    <w:name w:val="ConsPlusCell11"/>
    <w:qFormat/>
    <w:pPr>
      <w:widowControl/>
      <w:suppressAutoHyphens w:val="true"/>
      <w:bidi w:val="0"/>
      <w:spacing w:before="0" w:after="0"/>
      <w:jc w:val="left"/>
    </w:pPr>
    <w:rPr>
      <w:rFonts w:ascii="Arial" w:hAnsi="Arial" w:eastAsia="Times New Roman" w:cs="Times New Roman"/>
      <w:color w:val="000000"/>
      <w:kern w:val="0"/>
      <w:sz w:val="20"/>
      <w:szCs w:val="20"/>
      <w:lang w:val="ru-RU" w:eastAsia="ru-RU" w:bidi="ar-SA"/>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1">
    <w:name w:val="Table Grid"/>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LibreOffice/24.8.4.2$Linux_X86_64 LibreOffice_project/480$Build-2</Application>
  <AppVersion>15.0000</AppVersion>
  <Pages>11</Pages>
  <Words>2464</Words>
  <Characters>18344</Characters>
  <CharactersWithSpaces>20642</CharactersWithSpaces>
  <Paragraphs>542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2025-10-09T07:48:00Z</dcterms:created>
  <dc:creator/>
  <dc:description/>
  <dc:language>ru-RU</dc:language>
  <cp:lastModifiedBy/>
  <dcterms:modified xsi:type="dcterms:W3CDTF">2025-10-10T08:54:13Z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